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4360091" w:displacedByCustomXml="next"/>
    <w:bookmarkStart w:id="1" w:name="_Toc408255805" w:displacedByCustomXml="next"/>
    <w:bookmarkStart w:id="2" w:name="_Toc396167099" w:displacedByCustomXml="next"/>
    <w:bookmarkStart w:id="3" w:name="_Toc51410925" w:displacedByCustomXml="next"/>
    <w:sdt>
      <w:sdtPr>
        <w:rPr>
          <w:rFonts w:eastAsiaTheme="majorEastAsia"/>
          <w:b w:val="0"/>
          <w:bCs w:val="0"/>
          <w:caps/>
          <w:noProof w:val="0"/>
          <w:color w:val="auto"/>
          <w:sz w:val="24"/>
          <w:szCs w:val="24"/>
          <w:lang w:val="en-CA"/>
        </w:rPr>
        <w:id w:val="-876313261"/>
        <w:docPartObj>
          <w:docPartGallery w:val="Table of Contents"/>
          <w:docPartUnique/>
        </w:docPartObj>
      </w:sdtPr>
      <w:sdtEndPr>
        <w:rPr>
          <w:rFonts w:ascii="Times New Roman" w:eastAsia="Times New Roman" w:hAnsi="Times New Roman" w:cs="Times New Roman"/>
          <w:caps w:val="0"/>
        </w:rPr>
      </w:sdtEndPr>
      <w:sdtContent>
        <w:p w14:paraId="4DD3B9CC" w14:textId="4C985961" w:rsidR="00C16843" w:rsidRPr="007A6720" w:rsidRDefault="00C16843" w:rsidP="007A6720">
          <w:pPr>
            <w:pStyle w:val="Heading1"/>
            <w:spacing w:line="480" w:lineRule="auto"/>
            <w:rPr>
              <w:sz w:val="24"/>
              <w:szCs w:val="24"/>
            </w:rPr>
          </w:pPr>
          <w:r w:rsidRPr="007A6720">
            <w:rPr>
              <w:sz w:val="24"/>
              <w:szCs w:val="24"/>
            </w:rPr>
            <w:t>CHARTER LAW</w:t>
          </w:r>
          <w:bookmarkEnd w:id="3"/>
          <w:bookmarkEnd w:id="2"/>
          <w:bookmarkEnd w:id="1"/>
          <w:bookmarkEnd w:id="0"/>
        </w:p>
        <w:p w14:paraId="596646AF" w14:textId="0B9F534D" w:rsidR="00C16843" w:rsidRPr="007A6720" w:rsidRDefault="00C16843" w:rsidP="007A6720">
          <w:pPr>
            <w:spacing w:line="480" w:lineRule="auto"/>
            <w:rPr>
              <w:rFonts w:ascii="Arial" w:hAnsi="Arial" w:cs="Arial"/>
            </w:rPr>
          </w:pPr>
        </w:p>
        <w:p w14:paraId="670F9F40" w14:textId="76330DAE" w:rsidR="00721C1C" w:rsidRPr="007A6720" w:rsidRDefault="00B441B1" w:rsidP="007A6720">
          <w:pPr>
            <w:pStyle w:val="TOCHeading"/>
            <w:spacing w:line="480" w:lineRule="auto"/>
            <w:rPr>
              <w:color w:val="000000" w:themeColor="text1"/>
              <w:sz w:val="24"/>
              <w:szCs w:val="24"/>
            </w:rPr>
          </w:pPr>
          <w:r w:rsidRPr="007A6720">
            <w:rPr>
              <w:color w:val="000000" w:themeColor="text1"/>
              <w:sz w:val="24"/>
              <w:szCs w:val="24"/>
            </w:rPr>
            <w:t>TABLE OF CONTENTS</w:t>
          </w:r>
        </w:p>
        <w:p w14:paraId="323D6669" w14:textId="25768561" w:rsidR="007A6720" w:rsidRPr="007A6720" w:rsidRDefault="00721C1C" w:rsidP="007A6720">
          <w:pPr>
            <w:pStyle w:val="TOC1"/>
            <w:rPr>
              <w:rFonts w:eastAsiaTheme="minorEastAsia"/>
              <w:noProof/>
              <w:lang w:val="en-CA"/>
            </w:rPr>
          </w:pPr>
          <w:r w:rsidRPr="007A6720">
            <w:fldChar w:fldCharType="begin"/>
          </w:r>
          <w:r w:rsidRPr="007A6720">
            <w:instrText xml:space="preserve"> TOC \o "1-3" \h \z \u </w:instrText>
          </w:r>
          <w:r w:rsidRPr="007A6720">
            <w:fldChar w:fldCharType="separate"/>
          </w:r>
        </w:p>
        <w:p w14:paraId="788E97EB" w14:textId="2C72A3EB" w:rsidR="007A6720" w:rsidRPr="007A6720" w:rsidRDefault="007A6720" w:rsidP="007A6720">
          <w:pPr>
            <w:pStyle w:val="TOC1"/>
            <w:rPr>
              <w:rFonts w:eastAsiaTheme="minorEastAsia"/>
              <w:noProof/>
              <w:lang w:val="en-CA"/>
            </w:rPr>
          </w:pPr>
          <w:hyperlink w:anchor="_Toc94360092" w:history="1">
            <w:r w:rsidRPr="007A6720">
              <w:rPr>
                <w:rStyle w:val="Hyperlink"/>
                <w:rFonts w:ascii="Arial" w:hAnsi="Arial" w:cs="Arial"/>
                <w:noProof/>
                <w:sz w:val="24"/>
                <w:szCs w:val="24"/>
              </w:rPr>
              <w:t>PRINCIPLES OF CHARTER INTERPRETATION</w:t>
            </w:r>
            <w:r w:rsidRPr="007A6720">
              <w:rPr>
                <w:noProof/>
                <w:webHidden/>
              </w:rPr>
              <w:tab/>
            </w:r>
            <w:r w:rsidRPr="007A6720">
              <w:rPr>
                <w:noProof/>
                <w:webHidden/>
              </w:rPr>
              <w:fldChar w:fldCharType="begin"/>
            </w:r>
            <w:r w:rsidRPr="007A6720">
              <w:rPr>
                <w:noProof/>
                <w:webHidden/>
              </w:rPr>
              <w:instrText xml:space="preserve"> PAGEREF _Toc94360092 \h </w:instrText>
            </w:r>
            <w:r w:rsidRPr="007A6720">
              <w:rPr>
                <w:noProof/>
                <w:webHidden/>
              </w:rPr>
            </w:r>
            <w:r w:rsidRPr="007A6720">
              <w:rPr>
                <w:noProof/>
                <w:webHidden/>
              </w:rPr>
              <w:fldChar w:fldCharType="separate"/>
            </w:r>
            <w:r w:rsidR="00C57050">
              <w:rPr>
                <w:noProof/>
                <w:webHidden/>
              </w:rPr>
              <w:t>12</w:t>
            </w:r>
            <w:r w:rsidRPr="007A6720">
              <w:rPr>
                <w:noProof/>
                <w:webHidden/>
              </w:rPr>
              <w:fldChar w:fldCharType="end"/>
            </w:r>
          </w:hyperlink>
        </w:p>
        <w:p w14:paraId="1167010B" w14:textId="4005F859" w:rsidR="007A6720" w:rsidRPr="007A6720" w:rsidRDefault="007A6720" w:rsidP="007A6720">
          <w:pPr>
            <w:pStyle w:val="TOC1"/>
            <w:rPr>
              <w:rFonts w:eastAsiaTheme="minorEastAsia"/>
              <w:noProof/>
              <w:lang w:val="en-CA"/>
            </w:rPr>
          </w:pPr>
          <w:hyperlink w:anchor="_Toc94360093" w:history="1">
            <w:r w:rsidRPr="007A6720">
              <w:rPr>
                <w:rStyle w:val="Hyperlink"/>
                <w:rFonts w:ascii="Arial" w:hAnsi="Arial" w:cs="Arial"/>
                <w:noProof/>
                <w:sz w:val="24"/>
                <w:szCs w:val="24"/>
              </w:rPr>
              <w:t>ONUS</w:t>
            </w:r>
            <w:r w:rsidRPr="007A6720">
              <w:rPr>
                <w:noProof/>
                <w:webHidden/>
              </w:rPr>
              <w:tab/>
            </w:r>
            <w:r w:rsidRPr="007A6720">
              <w:rPr>
                <w:noProof/>
                <w:webHidden/>
              </w:rPr>
              <w:fldChar w:fldCharType="begin"/>
            </w:r>
            <w:r w:rsidRPr="007A6720">
              <w:rPr>
                <w:noProof/>
                <w:webHidden/>
              </w:rPr>
              <w:instrText xml:space="preserve"> PAGEREF _Toc94360093 \h </w:instrText>
            </w:r>
            <w:r w:rsidRPr="007A6720">
              <w:rPr>
                <w:noProof/>
                <w:webHidden/>
              </w:rPr>
            </w:r>
            <w:r w:rsidRPr="007A6720">
              <w:rPr>
                <w:noProof/>
                <w:webHidden/>
              </w:rPr>
              <w:fldChar w:fldCharType="separate"/>
            </w:r>
            <w:r w:rsidR="00C57050">
              <w:rPr>
                <w:noProof/>
                <w:webHidden/>
              </w:rPr>
              <w:t>12</w:t>
            </w:r>
            <w:r w:rsidRPr="007A6720">
              <w:rPr>
                <w:noProof/>
                <w:webHidden/>
              </w:rPr>
              <w:fldChar w:fldCharType="end"/>
            </w:r>
          </w:hyperlink>
        </w:p>
        <w:p w14:paraId="379FC16A" w14:textId="0837376C" w:rsidR="007A6720" w:rsidRPr="007A6720" w:rsidRDefault="007A6720" w:rsidP="007A6720">
          <w:pPr>
            <w:pStyle w:val="TOC1"/>
            <w:rPr>
              <w:rFonts w:eastAsiaTheme="minorEastAsia"/>
              <w:noProof/>
              <w:lang w:val="en-CA"/>
            </w:rPr>
          </w:pPr>
          <w:hyperlink w:anchor="_Toc94360094" w:history="1">
            <w:r w:rsidRPr="007A6720">
              <w:rPr>
                <w:rStyle w:val="Hyperlink"/>
                <w:rFonts w:ascii="Arial" w:hAnsi="Arial" w:cs="Arial"/>
                <w:noProof/>
                <w:sz w:val="24"/>
                <w:szCs w:val="24"/>
              </w:rPr>
              <w:t>NOTICE</w:t>
            </w:r>
            <w:r w:rsidRPr="007A6720">
              <w:rPr>
                <w:noProof/>
                <w:webHidden/>
              </w:rPr>
              <w:tab/>
            </w:r>
            <w:r w:rsidRPr="007A6720">
              <w:rPr>
                <w:noProof/>
                <w:webHidden/>
              </w:rPr>
              <w:fldChar w:fldCharType="begin"/>
            </w:r>
            <w:r w:rsidRPr="007A6720">
              <w:rPr>
                <w:noProof/>
                <w:webHidden/>
              </w:rPr>
              <w:instrText xml:space="preserve"> PAGEREF _Toc94360094 \h </w:instrText>
            </w:r>
            <w:r w:rsidRPr="007A6720">
              <w:rPr>
                <w:noProof/>
                <w:webHidden/>
              </w:rPr>
            </w:r>
            <w:r w:rsidRPr="007A6720">
              <w:rPr>
                <w:noProof/>
                <w:webHidden/>
              </w:rPr>
              <w:fldChar w:fldCharType="separate"/>
            </w:r>
            <w:r w:rsidR="00C57050">
              <w:rPr>
                <w:noProof/>
                <w:webHidden/>
              </w:rPr>
              <w:t>12</w:t>
            </w:r>
            <w:r w:rsidRPr="007A6720">
              <w:rPr>
                <w:noProof/>
                <w:webHidden/>
              </w:rPr>
              <w:fldChar w:fldCharType="end"/>
            </w:r>
          </w:hyperlink>
        </w:p>
        <w:p w14:paraId="06CBBEC0" w14:textId="00328942" w:rsidR="007A6720" w:rsidRPr="007A6720" w:rsidRDefault="007A6720" w:rsidP="007A6720">
          <w:pPr>
            <w:pStyle w:val="TOC1"/>
            <w:rPr>
              <w:rFonts w:eastAsiaTheme="minorEastAsia"/>
              <w:noProof/>
              <w:lang w:val="en-CA"/>
            </w:rPr>
          </w:pPr>
          <w:hyperlink w:anchor="_Toc94360095" w:history="1">
            <w:r w:rsidRPr="007A6720">
              <w:rPr>
                <w:rStyle w:val="Hyperlink"/>
                <w:rFonts w:ascii="Arial" w:hAnsi="Arial" w:cs="Arial"/>
                <w:noProof/>
                <w:sz w:val="24"/>
                <w:szCs w:val="24"/>
              </w:rPr>
              <w:t>SUMMARY DISMISSAL</w:t>
            </w:r>
            <w:r w:rsidRPr="007A6720">
              <w:rPr>
                <w:noProof/>
                <w:webHidden/>
              </w:rPr>
              <w:tab/>
            </w:r>
            <w:r w:rsidRPr="007A6720">
              <w:rPr>
                <w:noProof/>
                <w:webHidden/>
              </w:rPr>
              <w:fldChar w:fldCharType="begin"/>
            </w:r>
            <w:r w:rsidRPr="007A6720">
              <w:rPr>
                <w:noProof/>
                <w:webHidden/>
              </w:rPr>
              <w:instrText xml:space="preserve"> PAGEREF _Toc94360095 \h </w:instrText>
            </w:r>
            <w:r w:rsidRPr="007A6720">
              <w:rPr>
                <w:noProof/>
                <w:webHidden/>
              </w:rPr>
            </w:r>
            <w:r w:rsidRPr="007A6720">
              <w:rPr>
                <w:noProof/>
                <w:webHidden/>
              </w:rPr>
              <w:fldChar w:fldCharType="separate"/>
            </w:r>
            <w:r w:rsidR="00C57050">
              <w:rPr>
                <w:noProof/>
                <w:webHidden/>
              </w:rPr>
              <w:t>13</w:t>
            </w:r>
            <w:r w:rsidRPr="007A6720">
              <w:rPr>
                <w:noProof/>
                <w:webHidden/>
              </w:rPr>
              <w:fldChar w:fldCharType="end"/>
            </w:r>
          </w:hyperlink>
        </w:p>
        <w:p w14:paraId="51618AEA" w14:textId="7753C50F" w:rsidR="007A6720" w:rsidRPr="007A6720" w:rsidRDefault="007A6720" w:rsidP="007A6720">
          <w:pPr>
            <w:pStyle w:val="TOC1"/>
            <w:rPr>
              <w:rFonts w:eastAsiaTheme="minorEastAsia"/>
              <w:noProof/>
              <w:lang w:val="en-CA"/>
            </w:rPr>
          </w:pPr>
          <w:hyperlink w:anchor="_Toc94360096" w:history="1">
            <w:r w:rsidRPr="007A6720">
              <w:rPr>
                <w:rStyle w:val="Hyperlink"/>
                <w:rFonts w:ascii="Arial" w:hAnsi="Arial" w:cs="Arial"/>
                <w:noProof/>
                <w:sz w:val="24"/>
                <w:szCs w:val="24"/>
              </w:rPr>
              <w:t>SECTION 7</w:t>
            </w:r>
            <w:r w:rsidRPr="007A6720">
              <w:rPr>
                <w:noProof/>
                <w:webHidden/>
              </w:rPr>
              <w:tab/>
            </w:r>
            <w:r w:rsidRPr="007A6720">
              <w:rPr>
                <w:noProof/>
                <w:webHidden/>
              </w:rPr>
              <w:fldChar w:fldCharType="begin"/>
            </w:r>
            <w:r w:rsidRPr="007A6720">
              <w:rPr>
                <w:noProof/>
                <w:webHidden/>
              </w:rPr>
              <w:instrText xml:space="preserve"> PAGEREF _Toc94360096 \h </w:instrText>
            </w:r>
            <w:r w:rsidRPr="007A6720">
              <w:rPr>
                <w:noProof/>
                <w:webHidden/>
              </w:rPr>
            </w:r>
            <w:r w:rsidRPr="007A6720">
              <w:rPr>
                <w:noProof/>
                <w:webHidden/>
              </w:rPr>
              <w:fldChar w:fldCharType="separate"/>
            </w:r>
            <w:r w:rsidR="00C57050">
              <w:rPr>
                <w:noProof/>
                <w:webHidden/>
              </w:rPr>
              <w:t>14</w:t>
            </w:r>
            <w:r w:rsidRPr="007A6720">
              <w:rPr>
                <w:noProof/>
                <w:webHidden/>
              </w:rPr>
              <w:fldChar w:fldCharType="end"/>
            </w:r>
          </w:hyperlink>
        </w:p>
        <w:p w14:paraId="261B1192" w14:textId="333B56B7"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097"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Right to Silence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_Toc94360097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14</w:t>
            </w:r>
            <w:r w:rsidRPr="007A6720">
              <w:rPr>
                <w:rFonts w:ascii="Arial" w:hAnsi="Arial" w:cs="Arial"/>
                <w:noProof/>
                <w:webHidden/>
                <w:sz w:val="24"/>
                <w:szCs w:val="24"/>
              </w:rPr>
              <w:fldChar w:fldCharType="end"/>
            </w:r>
          </w:hyperlink>
        </w:p>
        <w:p w14:paraId="777DCA5A" w14:textId="230E082A"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098"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General Principles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_Toc94360098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14</w:t>
            </w:r>
            <w:r w:rsidRPr="007A6720">
              <w:rPr>
                <w:rFonts w:ascii="Arial" w:hAnsi="Arial" w:cs="Arial"/>
                <w:noProof/>
                <w:webHidden/>
                <w:sz w:val="24"/>
                <w:szCs w:val="24"/>
              </w:rPr>
              <w:fldChar w:fldCharType="end"/>
            </w:r>
          </w:hyperlink>
        </w:p>
        <w:p w14:paraId="2FC8E75E" w14:textId="1F980A7A"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099"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Right to Disclosure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_Toc94360099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17</w:t>
            </w:r>
            <w:r w:rsidRPr="007A6720">
              <w:rPr>
                <w:rFonts w:ascii="Arial" w:hAnsi="Arial" w:cs="Arial"/>
                <w:noProof/>
                <w:webHidden/>
                <w:sz w:val="24"/>
                <w:szCs w:val="24"/>
              </w:rPr>
              <w:fldChar w:fldCharType="end"/>
            </w:r>
          </w:hyperlink>
        </w:p>
        <w:p w14:paraId="4960C09D" w14:textId="1367A1AA"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00"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General</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17</w:t>
            </w:r>
            <w:r w:rsidRPr="007A6720">
              <w:rPr>
                <w:rFonts w:ascii="Arial" w:hAnsi="Arial" w:cs="Arial"/>
                <w:noProof/>
                <w:webHidden/>
                <w:sz w:val="24"/>
                <w:szCs w:val="24"/>
              </w:rPr>
              <w:fldChar w:fldCharType="end"/>
            </w:r>
          </w:hyperlink>
        </w:p>
        <w:p w14:paraId="1FCA1B1B" w14:textId="7E6CA205"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01"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Crown’s Disclosure Obligation on Appeal</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18</w:t>
            </w:r>
            <w:r w:rsidRPr="007A6720">
              <w:rPr>
                <w:rFonts w:ascii="Arial" w:hAnsi="Arial" w:cs="Arial"/>
                <w:noProof/>
                <w:webHidden/>
                <w:sz w:val="24"/>
                <w:szCs w:val="24"/>
              </w:rPr>
              <w:fldChar w:fldCharType="end"/>
            </w:r>
          </w:hyperlink>
        </w:p>
        <w:p w14:paraId="277EAD02" w14:textId="4CF054E4"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02" w:history="1">
            <w:r w:rsidRPr="007A6720">
              <w:rPr>
                <w:rStyle w:val="Hyperlink"/>
                <w:rFonts w:ascii="Arial" w:hAnsi="Arial" w:cs="Arial"/>
                <w:noProof/>
                <w:sz w:val="24"/>
                <w:szCs w:val="24"/>
              </w:rPr>
              <w:t>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Establishing a Breach of the Right to Disclosure at Trial or Appeal</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19</w:t>
            </w:r>
            <w:r w:rsidRPr="007A6720">
              <w:rPr>
                <w:rFonts w:ascii="Arial" w:hAnsi="Arial" w:cs="Arial"/>
                <w:noProof/>
                <w:webHidden/>
                <w:sz w:val="24"/>
                <w:szCs w:val="24"/>
              </w:rPr>
              <w:fldChar w:fldCharType="end"/>
            </w:r>
          </w:hyperlink>
        </w:p>
        <w:p w14:paraId="41BFE32B" w14:textId="7BC7946A"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03" w:history="1">
            <w:r w:rsidRPr="007A6720">
              <w:rPr>
                <w:rStyle w:val="Hyperlink"/>
                <w:rFonts w:ascii="Arial" w:hAnsi="Arial" w:cs="Arial"/>
                <w:noProof/>
                <w:sz w:val="24"/>
                <w:szCs w:val="24"/>
              </w:rPr>
              <w:t>iv.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Lost Evidence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20</w:t>
            </w:r>
            <w:r w:rsidRPr="007A6720">
              <w:rPr>
                <w:rFonts w:ascii="Arial" w:hAnsi="Arial" w:cs="Arial"/>
                <w:noProof/>
                <w:webHidden/>
                <w:sz w:val="24"/>
                <w:szCs w:val="24"/>
              </w:rPr>
              <w:fldChar w:fldCharType="end"/>
            </w:r>
          </w:hyperlink>
        </w:p>
        <w:p w14:paraId="797AC05C" w14:textId="31D609B1"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04" w:history="1">
            <w:r w:rsidRPr="007A6720">
              <w:rPr>
                <w:rStyle w:val="Hyperlink"/>
                <w:rFonts w:ascii="Arial" w:hAnsi="Arial" w:cs="Arial"/>
                <w:noProof/>
                <w:sz w:val="24"/>
                <w:szCs w:val="24"/>
              </w:rPr>
              <w:t>C.</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Right to a Fair Trial</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21</w:t>
            </w:r>
            <w:r w:rsidRPr="007A6720">
              <w:rPr>
                <w:rFonts w:ascii="Arial" w:hAnsi="Arial" w:cs="Arial"/>
                <w:noProof/>
                <w:webHidden/>
                <w:sz w:val="24"/>
                <w:szCs w:val="24"/>
              </w:rPr>
              <w:fldChar w:fldCharType="end"/>
            </w:r>
          </w:hyperlink>
        </w:p>
        <w:p w14:paraId="75327E28" w14:textId="2A416B0F"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05"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Rowbotham Applications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21</w:t>
            </w:r>
            <w:r w:rsidRPr="007A6720">
              <w:rPr>
                <w:rFonts w:ascii="Arial" w:hAnsi="Arial" w:cs="Arial"/>
                <w:noProof/>
                <w:webHidden/>
                <w:sz w:val="24"/>
                <w:szCs w:val="24"/>
              </w:rPr>
              <w:fldChar w:fldCharType="end"/>
            </w:r>
          </w:hyperlink>
        </w:p>
        <w:p w14:paraId="2D1EC4BC" w14:textId="77B7EDD1"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06"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Adverse Inference from Presence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22</w:t>
            </w:r>
            <w:r w:rsidRPr="007A6720">
              <w:rPr>
                <w:rFonts w:ascii="Arial" w:hAnsi="Arial" w:cs="Arial"/>
                <w:noProof/>
                <w:webHidden/>
                <w:sz w:val="24"/>
                <w:szCs w:val="24"/>
              </w:rPr>
              <w:fldChar w:fldCharType="end"/>
            </w:r>
          </w:hyperlink>
        </w:p>
        <w:p w14:paraId="106E320C" w14:textId="28583E27"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07" w:history="1">
            <w:r w:rsidRPr="007A6720">
              <w:rPr>
                <w:rStyle w:val="Hyperlink"/>
                <w:rFonts w:ascii="Arial" w:hAnsi="Arial" w:cs="Arial"/>
                <w:noProof/>
                <w:sz w:val="24"/>
                <w:szCs w:val="24"/>
              </w:rPr>
              <w:t>D.</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Right to Full Answer and Defence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22</w:t>
            </w:r>
            <w:r w:rsidRPr="007A6720">
              <w:rPr>
                <w:rFonts w:ascii="Arial" w:hAnsi="Arial" w:cs="Arial"/>
                <w:noProof/>
                <w:webHidden/>
                <w:sz w:val="24"/>
                <w:szCs w:val="24"/>
              </w:rPr>
              <w:fldChar w:fldCharType="end"/>
            </w:r>
          </w:hyperlink>
        </w:p>
        <w:p w14:paraId="6E82B05A" w14:textId="4BFF1A26"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08" w:history="1">
            <w:r w:rsidRPr="007A6720">
              <w:rPr>
                <w:rStyle w:val="Hyperlink"/>
                <w:rFonts w:ascii="Arial" w:hAnsi="Arial" w:cs="Arial"/>
                <w:noProof/>
                <w:sz w:val="24"/>
                <w:szCs w:val="24"/>
              </w:rPr>
              <w:t>E.</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Right to Security of the Person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23</w:t>
            </w:r>
            <w:r w:rsidRPr="007A6720">
              <w:rPr>
                <w:rFonts w:ascii="Arial" w:hAnsi="Arial" w:cs="Arial"/>
                <w:noProof/>
                <w:webHidden/>
                <w:sz w:val="24"/>
                <w:szCs w:val="24"/>
              </w:rPr>
              <w:fldChar w:fldCharType="end"/>
            </w:r>
          </w:hyperlink>
        </w:p>
        <w:p w14:paraId="26B45D2A" w14:textId="1999CDC3"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09" w:history="1">
            <w:r w:rsidRPr="007A6720">
              <w:rPr>
                <w:rStyle w:val="Hyperlink"/>
                <w:rFonts w:ascii="Arial" w:hAnsi="Arial" w:cs="Arial"/>
                <w:noProof/>
                <w:sz w:val="24"/>
                <w:szCs w:val="24"/>
              </w:rPr>
              <w:t>F.</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Right to Liberty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_Toc94360109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24</w:t>
            </w:r>
            <w:r w:rsidRPr="007A6720">
              <w:rPr>
                <w:rFonts w:ascii="Arial" w:hAnsi="Arial" w:cs="Arial"/>
                <w:noProof/>
                <w:webHidden/>
                <w:sz w:val="24"/>
                <w:szCs w:val="24"/>
              </w:rPr>
              <w:fldChar w:fldCharType="end"/>
            </w:r>
          </w:hyperlink>
        </w:p>
        <w:p w14:paraId="7066E075" w14:textId="4D28B292"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10" w:history="1">
            <w:r w:rsidRPr="007A6720">
              <w:rPr>
                <w:rStyle w:val="Hyperlink"/>
                <w:rFonts w:ascii="Arial" w:hAnsi="Arial" w:cs="Arial"/>
                <w:noProof/>
                <w:sz w:val="24"/>
                <w:szCs w:val="24"/>
              </w:rPr>
              <w:t>G.</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Abuse of Process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_Toc94360110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25</w:t>
            </w:r>
            <w:r w:rsidRPr="007A6720">
              <w:rPr>
                <w:rFonts w:ascii="Arial" w:hAnsi="Arial" w:cs="Arial"/>
                <w:noProof/>
                <w:webHidden/>
                <w:sz w:val="24"/>
                <w:szCs w:val="24"/>
              </w:rPr>
              <w:fldChar w:fldCharType="end"/>
            </w:r>
          </w:hyperlink>
        </w:p>
        <w:p w14:paraId="35BDDE4B" w14:textId="0B6FCCCE" w:rsidR="007A6720" w:rsidRPr="007A6720" w:rsidRDefault="007A6720" w:rsidP="007A6720">
          <w:pPr>
            <w:pStyle w:val="TOC1"/>
            <w:rPr>
              <w:rFonts w:eastAsiaTheme="minorEastAsia"/>
              <w:noProof/>
              <w:lang w:val="en-CA"/>
            </w:rPr>
          </w:pPr>
          <w:hyperlink w:anchor="_Toc94360111" w:history="1">
            <w:r w:rsidRPr="007A6720">
              <w:rPr>
                <w:rStyle w:val="Hyperlink"/>
                <w:rFonts w:ascii="Arial" w:hAnsi="Arial" w:cs="Arial"/>
                <w:noProof/>
                <w:sz w:val="24"/>
                <w:szCs w:val="24"/>
              </w:rPr>
              <w:t>SECTION 8</w:t>
            </w:r>
            <w:r w:rsidRPr="007A6720">
              <w:rPr>
                <w:noProof/>
                <w:webHidden/>
              </w:rPr>
              <w:tab/>
            </w:r>
            <w:r w:rsidRPr="007A6720">
              <w:rPr>
                <w:noProof/>
                <w:webHidden/>
              </w:rPr>
              <w:fldChar w:fldCharType="begin"/>
            </w:r>
            <w:r w:rsidRPr="007A6720">
              <w:rPr>
                <w:noProof/>
                <w:webHidden/>
              </w:rPr>
              <w:instrText xml:space="preserve"> PAGEREF _Toc94360111 \h </w:instrText>
            </w:r>
            <w:r w:rsidRPr="007A6720">
              <w:rPr>
                <w:noProof/>
                <w:webHidden/>
              </w:rPr>
            </w:r>
            <w:r w:rsidRPr="007A6720">
              <w:rPr>
                <w:noProof/>
                <w:webHidden/>
              </w:rPr>
              <w:fldChar w:fldCharType="separate"/>
            </w:r>
            <w:r w:rsidR="00C57050">
              <w:rPr>
                <w:noProof/>
                <w:webHidden/>
              </w:rPr>
              <w:t>25</w:t>
            </w:r>
            <w:r w:rsidRPr="007A6720">
              <w:rPr>
                <w:noProof/>
                <w:webHidden/>
              </w:rPr>
              <w:fldChar w:fldCharType="end"/>
            </w:r>
          </w:hyperlink>
        </w:p>
        <w:p w14:paraId="5005AB67" w14:textId="28ABB3DE"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12"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Reasonable Expectation of Privacy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_Toc94360112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25</w:t>
            </w:r>
            <w:r w:rsidRPr="007A6720">
              <w:rPr>
                <w:rFonts w:ascii="Arial" w:hAnsi="Arial" w:cs="Arial"/>
                <w:noProof/>
                <w:webHidden/>
                <w:sz w:val="24"/>
                <w:szCs w:val="24"/>
              </w:rPr>
              <w:fldChar w:fldCharType="end"/>
            </w:r>
          </w:hyperlink>
        </w:p>
        <w:p w14:paraId="048D6530" w14:textId="0FBE7B71"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13"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General Principles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_Toc94360113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25</w:t>
            </w:r>
            <w:r w:rsidRPr="007A6720">
              <w:rPr>
                <w:rFonts w:ascii="Arial" w:hAnsi="Arial" w:cs="Arial"/>
                <w:noProof/>
                <w:webHidden/>
                <w:sz w:val="24"/>
                <w:szCs w:val="24"/>
              </w:rPr>
              <w:fldChar w:fldCharType="end"/>
            </w:r>
          </w:hyperlink>
        </w:p>
        <w:p w14:paraId="3F6FA2F3" w14:textId="1F738104"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14" w:history="1">
            <w:r w:rsidRPr="007A6720">
              <w:rPr>
                <w:rStyle w:val="Hyperlink"/>
                <w:rFonts w:ascii="Arial" w:hAnsi="Arial" w:cs="Arial"/>
                <w:noProof/>
                <w:sz w:val="24"/>
                <w:szCs w:val="24"/>
              </w:rPr>
              <w:t>i</w:t>
            </w:r>
            <w:r>
              <w:rPr>
                <w:rStyle w:val="Hyperlink"/>
                <w:rFonts w:ascii="Arial" w:hAnsi="Arial" w:cs="Arial"/>
                <w:noProof/>
                <w:sz w:val="24"/>
                <w:szCs w:val="24"/>
              </w:rPr>
              <w:t>i</w:t>
            </w:r>
            <w:r w:rsidRPr="007A6720">
              <w:rPr>
                <w:rStyle w:val="Hyperlink"/>
                <w:rFonts w:ascii="Arial" w:hAnsi="Arial" w:cs="Arial"/>
                <w:noProof/>
                <w:sz w:val="24"/>
                <w:szCs w:val="24"/>
              </w:rPr>
              <w:t>.</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Personal Privacy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_Toc94360114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27</w:t>
            </w:r>
            <w:r w:rsidRPr="007A6720">
              <w:rPr>
                <w:rFonts w:ascii="Arial" w:hAnsi="Arial" w:cs="Arial"/>
                <w:noProof/>
                <w:webHidden/>
                <w:sz w:val="24"/>
                <w:szCs w:val="24"/>
              </w:rPr>
              <w:fldChar w:fldCharType="end"/>
            </w:r>
          </w:hyperlink>
        </w:p>
        <w:p w14:paraId="38CB2D2D" w14:textId="21EF21F8"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15" w:history="1">
            <w:r>
              <w:rPr>
                <w:rStyle w:val="Hyperlink"/>
                <w:rFonts w:ascii="Arial" w:hAnsi="Arial" w:cs="Arial"/>
                <w:noProof/>
                <w:sz w:val="24"/>
                <w:szCs w:val="24"/>
              </w:rPr>
              <w:t>iii</w:t>
            </w:r>
            <w:r w:rsidRPr="007A6720">
              <w:rPr>
                <w:rStyle w:val="Hyperlink"/>
                <w:rFonts w:ascii="Arial" w:hAnsi="Arial" w:cs="Arial"/>
                <w:noProof/>
                <w:sz w:val="24"/>
                <w:szCs w:val="24"/>
              </w:rPr>
              <w:t>.</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Privacy in Real Property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_Toc94360115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27</w:t>
            </w:r>
            <w:r w:rsidRPr="007A6720">
              <w:rPr>
                <w:rFonts w:ascii="Arial" w:hAnsi="Arial" w:cs="Arial"/>
                <w:noProof/>
                <w:webHidden/>
                <w:sz w:val="24"/>
                <w:szCs w:val="24"/>
              </w:rPr>
              <w:fldChar w:fldCharType="end"/>
            </w:r>
          </w:hyperlink>
        </w:p>
        <w:p w14:paraId="6590FC93" w14:textId="32BE7E1E"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r>
            <w:rPr>
              <w:rStyle w:val="Hyperlink"/>
              <w:rFonts w:ascii="Arial" w:hAnsi="Arial" w:cs="Arial"/>
              <w:noProof/>
              <w:sz w:val="24"/>
              <w:szCs w:val="24"/>
            </w:rPr>
            <w:t>i</w:t>
          </w:r>
          <w:hyperlink w:anchor="_Toc94360116"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Informational Context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_Toc94360116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28</w:t>
            </w:r>
            <w:r w:rsidRPr="007A6720">
              <w:rPr>
                <w:rFonts w:ascii="Arial" w:hAnsi="Arial" w:cs="Arial"/>
                <w:noProof/>
                <w:webHidden/>
                <w:sz w:val="24"/>
                <w:szCs w:val="24"/>
              </w:rPr>
              <w:fldChar w:fldCharType="end"/>
            </w:r>
          </w:hyperlink>
        </w:p>
        <w:p w14:paraId="06367C75" w14:textId="7D4E6AA9" w:rsidR="007A6720" w:rsidRPr="007A6720" w:rsidRDefault="007A6720" w:rsidP="007A6720">
          <w:pPr>
            <w:pStyle w:val="TOC3"/>
            <w:tabs>
              <w:tab w:val="left" w:pos="1200"/>
              <w:tab w:val="right" w:leader="dot" w:pos="8630"/>
            </w:tabs>
            <w:spacing w:line="480" w:lineRule="auto"/>
            <w:rPr>
              <w:rFonts w:ascii="Arial" w:eastAsiaTheme="minorEastAsia" w:hAnsi="Arial" w:cs="Arial"/>
              <w:noProof/>
              <w:sz w:val="24"/>
              <w:szCs w:val="24"/>
              <w:lang w:val="en-CA"/>
            </w:rPr>
          </w:pPr>
          <w:hyperlink w:anchor="_Toc94360117"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Specific Examples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_Toc94360117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28</w:t>
            </w:r>
            <w:r w:rsidRPr="007A6720">
              <w:rPr>
                <w:rFonts w:ascii="Arial" w:hAnsi="Arial" w:cs="Arial"/>
                <w:noProof/>
                <w:webHidden/>
                <w:sz w:val="24"/>
                <w:szCs w:val="24"/>
              </w:rPr>
              <w:fldChar w:fldCharType="end"/>
            </w:r>
          </w:hyperlink>
        </w:p>
        <w:p w14:paraId="73513AF0" w14:textId="044F2AAE"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18"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Ancillary Powers doctrine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_Toc94360118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31</w:t>
            </w:r>
            <w:r w:rsidRPr="007A6720">
              <w:rPr>
                <w:rFonts w:ascii="Arial" w:hAnsi="Arial" w:cs="Arial"/>
                <w:noProof/>
                <w:webHidden/>
                <w:sz w:val="24"/>
                <w:szCs w:val="24"/>
              </w:rPr>
              <w:fldChar w:fldCharType="end"/>
            </w:r>
          </w:hyperlink>
        </w:p>
        <w:p w14:paraId="0E4F105D" w14:textId="626F4942"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19" w:history="1">
            <w:r w:rsidRPr="007A6720">
              <w:rPr>
                <w:rStyle w:val="Hyperlink"/>
                <w:rFonts w:ascii="Arial" w:hAnsi="Arial" w:cs="Arial"/>
                <w:noProof/>
                <w:sz w:val="24"/>
                <w:szCs w:val="24"/>
              </w:rPr>
              <w:t>C.</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Implied License Doctrine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_Toc94360119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31</w:t>
            </w:r>
            <w:r w:rsidRPr="007A6720">
              <w:rPr>
                <w:rFonts w:ascii="Arial" w:hAnsi="Arial" w:cs="Arial"/>
                <w:noProof/>
                <w:webHidden/>
                <w:sz w:val="24"/>
                <w:szCs w:val="24"/>
              </w:rPr>
              <w:fldChar w:fldCharType="end"/>
            </w:r>
          </w:hyperlink>
        </w:p>
        <w:p w14:paraId="0A3366FA" w14:textId="3BB0DE60"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20" w:history="1">
            <w:r w:rsidRPr="007A6720">
              <w:rPr>
                <w:rStyle w:val="Hyperlink"/>
                <w:rFonts w:ascii="Arial" w:hAnsi="Arial" w:cs="Arial"/>
                <w:noProof/>
                <w:sz w:val="24"/>
                <w:szCs w:val="24"/>
              </w:rPr>
              <w:t>D.</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Consent Searches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32</w:t>
            </w:r>
            <w:r w:rsidRPr="007A6720">
              <w:rPr>
                <w:rFonts w:ascii="Arial" w:hAnsi="Arial" w:cs="Arial"/>
                <w:noProof/>
                <w:webHidden/>
                <w:sz w:val="24"/>
                <w:szCs w:val="24"/>
              </w:rPr>
              <w:fldChar w:fldCharType="end"/>
            </w:r>
          </w:hyperlink>
        </w:p>
        <w:p w14:paraId="71023838" w14:textId="109CF078"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21" w:history="1">
            <w:r w:rsidRPr="007A6720">
              <w:rPr>
                <w:rStyle w:val="Hyperlink"/>
                <w:rFonts w:ascii="Arial" w:hAnsi="Arial" w:cs="Arial"/>
                <w:noProof/>
                <w:sz w:val="24"/>
                <w:szCs w:val="24"/>
              </w:rPr>
              <w:t>E.</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Search Warrants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33</w:t>
            </w:r>
            <w:r w:rsidRPr="007A6720">
              <w:rPr>
                <w:rFonts w:ascii="Arial" w:hAnsi="Arial" w:cs="Arial"/>
                <w:noProof/>
                <w:webHidden/>
                <w:sz w:val="24"/>
                <w:szCs w:val="24"/>
              </w:rPr>
              <w:fldChar w:fldCharType="end"/>
            </w:r>
          </w:hyperlink>
        </w:p>
        <w:p w14:paraId="7D33AD68" w14:textId="7CA5BB0D"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22"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Definition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33</w:t>
            </w:r>
            <w:r w:rsidRPr="007A6720">
              <w:rPr>
                <w:rFonts w:ascii="Arial" w:hAnsi="Arial" w:cs="Arial"/>
                <w:noProof/>
                <w:webHidden/>
                <w:sz w:val="24"/>
                <w:szCs w:val="24"/>
              </w:rPr>
              <w:fldChar w:fldCharType="end"/>
            </w:r>
          </w:hyperlink>
        </w:p>
        <w:p w14:paraId="429072BB" w14:textId="65181A16"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23"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General Warrants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33</w:t>
            </w:r>
            <w:r w:rsidRPr="007A6720">
              <w:rPr>
                <w:rFonts w:ascii="Arial" w:hAnsi="Arial" w:cs="Arial"/>
                <w:noProof/>
                <w:webHidden/>
                <w:sz w:val="24"/>
                <w:szCs w:val="24"/>
              </w:rPr>
              <w:fldChar w:fldCharType="end"/>
            </w:r>
          </w:hyperlink>
        </w:p>
        <w:p w14:paraId="3A8E44D4" w14:textId="67BA8BA2"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24" w:history="1">
            <w:r w:rsidRPr="007A6720">
              <w:rPr>
                <w:rStyle w:val="Hyperlink"/>
                <w:rFonts w:ascii="Arial" w:hAnsi="Arial" w:cs="Arial"/>
                <w:noProof/>
                <w:sz w:val="24"/>
                <w:szCs w:val="24"/>
              </w:rPr>
              <w:t>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DNA Warrants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34</w:t>
            </w:r>
            <w:r w:rsidRPr="007A6720">
              <w:rPr>
                <w:rFonts w:ascii="Arial" w:hAnsi="Arial" w:cs="Arial"/>
                <w:noProof/>
                <w:webHidden/>
                <w:sz w:val="24"/>
                <w:szCs w:val="24"/>
              </w:rPr>
              <w:fldChar w:fldCharType="end"/>
            </w:r>
          </w:hyperlink>
        </w:p>
        <w:p w14:paraId="7EF34B22" w14:textId="5D5CAE39"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25" w:history="1">
            <w:r w:rsidRPr="007A6720">
              <w:rPr>
                <w:rStyle w:val="Hyperlink"/>
                <w:rFonts w:ascii="Arial" w:hAnsi="Arial" w:cs="Arial"/>
                <w:noProof/>
                <w:sz w:val="24"/>
                <w:szCs w:val="24"/>
              </w:rPr>
              <w:t>iv.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The ITO</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34</w:t>
            </w:r>
            <w:r w:rsidRPr="007A6720">
              <w:rPr>
                <w:rFonts w:ascii="Arial" w:hAnsi="Arial" w:cs="Arial"/>
                <w:noProof/>
                <w:webHidden/>
                <w:sz w:val="24"/>
                <w:szCs w:val="24"/>
              </w:rPr>
              <w:fldChar w:fldCharType="end"/>
            </w:r>
          </w:hyperlink>
        </w:p>
        <w:p w14:paraId="56965A8D" w14:textId="2FB10837"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26"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Facial Validity of Warrant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37</w:t>
            </w:r>
            <w:r w:rsidRPr="007A6720">
              <w:rPr>
                <w:rFonts w:ascii="Arial" w:hAnsi="Arial" w:cs="Arial"/>
                <w:noProof/>
                <w:webHidden/>
                <w:sz w:val="24"/>
                <w:szCs w:val="24"/>
              </w:rPr>
              <w:fldChar w:fldCharType="end"/>
            </w:r>
          </w:hyperlink>
        </w:p>
        <w:p w14:paraId="611CAF28" w14:textId="2F69357F"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27" w:history="1">
            <w:r w:rsidRPr="007A6720">
              <w:rPr>
                <w:rStyle w:val="Hyperlink"/>
                <w:rFonts w:ascii="Arial" w:hAnsi="Arial" w:cs="Arial"/>
                <w:noProof/>
                <w:sz w:val="24"/>
                <w:szCs w:val="24"/>
              </w:rPr>
              <w:t>vi.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Amplification of the Warrant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39</w:t>
            </w:r>
            <w:r w:rsidRPr="007A6720">
              <w:rPr>
                <w:rFonts w:ascii="Arial" w:hAnsi="Arial" w:cs="Arial"/>
                <w:noProof/>
                <w:webHidden/>
                <w:sz w:val="24"/>
                <w:szCs w:val="24"/>
              </w:rPr>
              <w:fldChar w:fldCharType="end"/>
            </w:r>
          </w:hyperlink>
        </w:p>
        <w:p w14:paraId="24788CDD" w14:textId="225B9D52" w:rsidR="007A6720" w:rsidRPr="007A6720" w:rsidRDefault="007A6720" w:rsidP="007A6720">
          <w:pPr>
            <w:pStyle w:val="TOC3"/>
            <w:tabs>
              <w:tab w:val="left" w:pos="1200"/>
              <w:tab w:val="right" w:leader="dot" w:pos="8630"/>
            </w:tabs>
            <w:spacing w:line="480" w:lineRule="auto"/>
            <w:rPr>
              <w:rFonts w:ascii="Arial" w:eastAsiaTheme="minorEastAsia" w:hAnsi="Arial" w:cs="Arial"/>
              <w:noProof/>
              <w:sz w:val="24"/>
              <w:szCs w:val="24"/>
              <w:lang w:val="en-CA"/>
            </w:rPr>
          </w:pPr>
          <w:hyperlink w:anchor="_Toc94360128" w:history="1">
            <w:r w:rsidRPr="007A6720">
              <w:rPr>
                <w:rStyle w:val="Hyperlink"/>
                <w:rFonts w:ascii="Arial" w:hAnsi="Arial" w:cs="Arial"/>
                <w:noProof/>
                <w:sz w:val="24"/>
                <w:szCs w:val="24"/>
              </w:rPr>
              <w:t>vii.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Excising the Warrant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40</w:t>
            </w:r>
            <w:r w:rsidRPr="007A6720">
              <w:rPr>
                <w:rFonts w:ascii="Arial" w:hAnsi="Arial" w:cs="Arial"/>
                <w:noProof/>
                <w:webHidden/>
                <w:sz w:val="24"/>
                <w:szCs w:val="24"/>
              </w:rPr>
              <w:fldChar w:fldCharType="end"/>
            </w:r>
          </w:hyperlink>
        </w:p>
        <w:p w14:paraId="3FC0D360" w14:textId="6C8F8255" w:rsidR="007A6720" w:rsidRPr="007A6720" w:rsidRDefault="007A6720" w:rsidP="007A6720">
          <w:pPr>
            <w:pStyle w:val="TOC3"/>
            <w:tabs>
              <w:tab w:val="left" w:pos="1200"/>
              <w:tab w:val="right" w:leader="dot" w:pos="8630"/>
            </w:tabs>
            <w:spacing w:line="480" w:lineRule="auto"/>
            <w:rPr>
              <w:rFonts w:ascii="Arial" w:eastAsiaTheme="minorEastAsia" w:hAnsi="Arial" w:cs="Arial"/>
              <w:noProof/>
              <w:sz w:val="24"/>
              <w:szCs w:val="24"/>
              <w:lang w:val="en-CA"/>
            </w:rPr>
          </w:pPr>
          <w:hyperlink w:anchor="_Toc94360129" w:history="1">
            <w:r w:rsidRPr="007A6720">
              <w:rPr>
                <w:rStyle w:val="Hyperlink"/>
                <w:rFonts w:ascii="Arial" w:hAnsi="Arial" w:cs="Arial"/>
                <w:noProof/>
                <w:sz w:val="24"/>
                <w:szCs w:val="24"/>
              </w:rPr>
              <w:t>viii.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Subfacial Falidity of the Warrant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_Toc94360129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40</w:t>
            </w:r>
            <w:r w:rsidRPr="007A6720">
              <w:rPr>
                <w:rFonts w:ascii="Arial" w:hAnsi="Arial" w:cs="Arial"/>
                <w:noProof/>
                <w:webHidden/>
                <w:sz w:val="24"/>
                <w:szCs w:val="24"/>
              </w:rPr>
              <w:fldChar w:fldCharType="end"/>
            </w:r>
          </w:hyperlink>
        </w:p>
        <w:p w14:paraId="6379E297" w14:textId="71A9032F"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30" w:history="1">
            <w:r w:rsidRPr="007A6720">
              <w:rPr>
                <w:rStyle w:val="Hyperlink"/>
                <w:rFonts w:ascii="Arial" w:hAnsi="Arial" w:cs="Arial"/>
                <w:noProof/>
                <w:sz w:val="24"/>
                <w:szCs w:val="24"/>
              </w:rPr>
              <w:t>ix.</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Night-time Entry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41</w:t>
            </w:r>
            <w:r w:rsidRPr="007A6720">
              <w:rPr>
                <w:rFonts w:ascii="Arial" w:hAnsi="Arial" w:cs="Arial"/>
                <w:noProof/>
                <w:webHidden/>
                <w:sz w:val="24"/>
                <w:szCs w:val="24"/>
              </w:rPr>
              <w:fldChar w:fldCharType="end"/>
            </w:r>
          </w:hyperlink>
        </w:p>
        <w:p w14:paraId="55F69717" w14:textId="2DB2268B"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31" w:history="1">
            <w:r w:rsidRPr="007A6720">
              <w:rPr>
                <w:rStyle w:val="Hyperlink"/>
                <w:rFonts w:ascii="Arial" w:hAnsi="Arial" w:cs="Arial"/>
                <w:noProof/>
                <w:sz w:val="24"/>
                <w:szCs w:val="24"/>
              </w:rPr>
              <w:t>x.</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 Confidential Informants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41</w:t>
            </w:r>
            <w:r w:rsidRPr="007A6720">
              <w:rPr>
                <w:rFonts w:ascii="Arial" w:hAnsi="Arial" w:cs="Arial"/>
                <w:noProof/>
                <w:webHidden/>
                <w:sz w:val="24"/>
                <w:szCs w:val="24"/>
              </w:rPr>
              <w:fldChar w:fldCharType="end"/>
            </w:r>
          </w:hyperlink>
        </w:p>
        <w:p w14:paraId="700F3E32" w14:textId="34AADCD9"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32" w:history="1">
            <w:r w:rsidRPr="007A6720">
              <w:rPr>
                <w:rStyle w:val="Hyperlink"/>
                <w:rFonts w:ascii="Arial" w:hAnsi="Arial" w:cs="Arial"/>
                <w:noProof/>
                <w:sz w:val="24"/>
                <w:szCs w:val="24"/>
              </w:rPr>
              <w:t>xi.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Testing the Evidence at Trial: Cross examination of affiant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44</w:t>
            </w:r>
            <w:r w:rsidRPr="007A6720">
              <w:rPr>
                <w:rFonts w:ascii="Arial" w:hAnsi="Arial" w:cs="Arial"/>
                <w:noProof/>
                <w:webHidden/>
                <w:sz w:val="24"/>
                <w:szCs w:val="24"/>
              </w:rPr>
              <w:fldChar w:fldCharType="end"/>
            </w:r>
          </w:hyperlink>
        </w:p>
        <w:p w14:paraId="13D1F323" w14:textId="5A422D7B" w:rsidR="007A6720" w:rsidRPr="007A6720" w:rsidRDefault="007A6720" w:rsidP="007A6720">
          <w:pPr>
            <w:pStyle w:val="TOC3"/>
            <w:tabs>
              <w:tab w:val="left" w:pos="1200"/>
              <w:tab w:val="right" w:leader="dot" w:pos="8630"/>
            </w:tabs>
            <w:spacing w:line="480" w:lineRule="auto"/>
            <w:rPr>
              <w:rFonts w:ascii="Arial" w:eastAsiaTheme="minorEastAsia" w:hAnsi="Arial" w:cs="Arial"/>
              <w:noProof/>
              <w:sz w:val="24"/>
              <w:szCs w:val="24"/>
              <w:lang w:val="en-CA"/>
            </w:rPr>
          </w:pPr>
          <w:hyperlink w:anchor="_Toc94360133" w:history="1">
            <w:r w:rsidRPr="007A6720">
              <w:rPr>
                <w:rStyle w:val="Hyperlink"/>
                <w:rFonts w:ascii="Arial" w:hAnsi="Arial" w:cs="Arial"/>
                <w:noProof/>
                <w:sz w:val="24"/>
                <w:szCs w:val="24"/>
              </w:rPr>
              <w:t>xii.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Judge-Shopping the Warrant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44</w:t>
            </w:r>
            <w:r w:rsidRPr="007A6720">
              <w:rPr>
                <w:rFonts w:ascii="Arial" w:hAnsi="Arial" w:cs="Arial"/>
                <w:noProof/>
                <w:webHidden/>
                <w:sz w:val="24"/>
                <w:szCs w:val="24"/>
              </w:rPr>
              <w:fldChar w:fldCharType="end"/>
            </w:r>
          </w:hyperlink>
        </w:p>
        <w:p w14:paraId="786939A3" w14:textId="6902C4D4" w:rsidR="007A6720" w:rsidRPr="007A6720" w:rsidRDefault="007A6720" w:rsidP="007A6720">
          <w:pPr>
            <w:pStyle w:val="TOC3"/>
            <w:tabs>
              <w:tab w:val="left" w:pos="1200"/>
              <w:tab w:val="right" w:leader="dot" w:pos="8630"/>
            </w:tabs>
            <w:spacing w:line="480" w:lineRule="auto"/>
            <w:rPr>
              <w:rFonts w:ascii="Arial" w:eastAsiaTheme="minorEastAsia" w:hAnsi="Arial" w:cs="Arial"/>
              <w:noProof/>
              <w:sz w:val="24"/>
              <w:szCs w:val="24"/>
              <w:lang w:val="en-CA"/>
            </w:rPr>
          </w:pPr>
          <w:hyperlink w:anchor="_Toc94360134" w:history="1">
            <w:r w:rsidRPr="007A6720">
              <w:rPr>
                <w:rStyle w:val="Hyperlink"/>
                <w:rFonts w:ascii="Arial" w:hAnsi="Arial" w:cs="Arial"/>
                <w:noProof/>
                <w:sz w:val="24"/>
                <w:szCs w:val="24"/>
              </w:rPr>
              <w:t>xiii.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Testing the Evidence at Trial: Garafoli Applications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44</w:t>
            </w:r>
            <w:r w:rsidRPr="007A6720">
              <w:rPr>
                <w:rFonts w:ascii="Arial" w:hAnsi="Arial" w:cs="Arial"/>
                <w:noProof/>
                <w:webHidden/>
                <w:sz w:val="24"/>
                <w:szCs w:val="24"/>
              </w:rPr>
              <w:fldChar w:fldCharType="end"/>
            </w:r>
          </w:hyperlink>
        </w:p>
        <w:p w14:paraId="77D51DB2" w14:textId="57600312" w:rsidR="007A6720" w:rsidRPr="007A6720" w:rsidRDefault="007A6720" w:rsidP="007A6720">
          <w:pPr>
            <w:pStyle w:val="TOC3"/>
            <w:tabs>
              <w:tab w:val="left" w:pos="1200"/>
              <w:tab w:val="right" w:leader="dot" w:pos="8630"/>
            </w:tabs>
            <w:spacing w:line="480" w:lineRule="auto"/>
            <w:rPr>
              <w:rFonts w:ascii="Arial" w:eastAsiaTheme="minorEastAsia" w:hAnsi="Arial" w:cs="Arial"/>
              <w:noProof/>
              <w:sz w:val="24"/>
              <w:szCs w:val="24"/>
              <w:lang w:val="en-CA"/>
            </w:rPr>
          </w:pPr>
          <w:hyperlink w:anchor="_Toc94360135" w:history="1">
            <w:r w:rsidRPr="007A6720">
              <w:rPr>
                <w:rStyle w:val="Hyperlink"/>
                <w:rFonts w:ascii="Arial" w:hAnsi="Arial" w:cs="Arial"/>
                <w:noProof/>
                <w:sz w:val="24"/>
                <w:szCs w:val="24"/>
              </w:rPr>
              <w:t>xiv.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Electronic Searches (mobiles and computers)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46</w:t>
            </w:r>
            <w:r w:rsidRPr="007A6720">
              <w:rPr>
                <w:rFonts w:ascii="Arial" w:hAnsi="Arial" w:cs="Arial"/>
                <w:noProof/>
                <w:webHidden/>
                <w:sz w:val="24"/>
                <w:szCs w:val="24"/>
              </w:rPr>
              <w:fldChar w:fldCharType="end"/>
            </w:r>
          </w:hyperlink>
        </w:p>
        <w:p w14:paraId="45E11CB1" w14:textId="77F493FA" w:rsidR="007A6720" w:rsidRPr="007A6720" w:rsidRDefault="007A6720" w:rsidP="007A6720">
          <w:pPr>
            <w:pStyle w:val="TOC3"/>
            <w:tabs>
              <w:tab w:val="left" w:pos="1200"/>
              <w:tab w:val="right" w:leader="dot" w:pos="8630"/>
            </w:tabs>
            <w:spacing w:line="480" w:lineRule="auto"/>
            <w:rPr>
              <w:rFonts w:ascii="Arial" w:eastAsiaTheme="minorEastAsia" w:hAnsi="Arial" w:cs="Arial"/>
              <w:noProof/>
              <w:sz w:val="24"/>
              <w:szCs w:val="24"/>
              <w:lang w:val="en-CA"/>
            </w:rPr>
          </w:pPr>
          <w:hyperlink w:anchor="_Toc94360136" w:history="1">
            <w:r w:rsidRPr="007A6720">
              <w:rPr>
                <w:rStyle w:val="Hyperlink"/>
                <w:rFonts w:ascii="Arial" w:hAnsi="Arial" w:cs="Arial"/>
                <w:noProof/>
                <w:sz w:val="24"/>
                <w:szCs w:val="24"/>
              </w:rPr>
              <w:t>xv.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​Notice Requirements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47</w:t>
            </w:r>
            <w:r w:rsidRPr="007A6720">
              <w:rPr>
                <w:rFonts w:ascii="Arial" w:hAnsi="Arial" w:cs="Arial"/>
                <w:noProof/>
                <w:webHidden/>
                <w:sz w:val="24"/>
                <w:szCs w:val="24"/>
              </w:rPr>
              <w:fldChar w:fldCharType="end"/>
            </w:r>
          </w:hyperlink>
        </w:p>
        <w:p w14:paraId="681682D9" w14:textId="64EC3153"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37" w:history="1">
            <w:r w:rsidRPr="007A6720">
              <w:rPr>
                <w:rStyle w:val="Hyperlink"/>
                <w:rFonts w:ascii="Arial" w:hAnsi="Arial" w:cs="Arial"/>
                <w:noProof/>
                <w:sz w:val="24"/>
                <w:szCs w:val="24"/>
              </w:rPr>
              <w:t>F.</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Safety Searches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47</w:t>
            </w:r>
            <w:r w:rsidRPr="007A6720">
              <w:rPr>
                <w:rFonts w:ascii="Arial" w:hAnsi="Arial" w:cs="Arial"/>
                <w:noProof/>
                <w:webHidden/>
                <w:sz w:val="24"/>
                <w:szCs w:val="24"/>
              </w:rPr>
              <w:fldChar w:fldCharType="end"/>
            </w:r>
          </w:hyperlink>
        </w:p>
        <w:p w14:paraId="42A6A2C9" w14:textId="627B8D10"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38" w:history="1">
            <w:r w:rsidRPr="007A6720">
              <w:rPr>
                <w:rStyle w:val="Hyperlink"/>
                <w:rFonts w:ascii="Arial" w:hAnsi="Arial" w:cs="Arial"/>
                <w:noProof/>
                <w:sz w:val="24"/>
                <w:szCs w:val="24"/>
              </w:rPr>
              <w:t>G.</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Search Incident to Detention and Arrest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48</w:t>
            </w:r>
            <w:r w:rsidRPr="007A6720">
              <w:rPr>
                <w:rFonts w:ascii="Arial" w:hAnsi="Arial" w:cs="Arial"/>
                <w:noProof/>
                <w:webHidden/>
                <w:sz w:val="24"/>
                <w:szCs w:val="24"/>
              </w:rPr>
              <w:fldChar w:fldCharType="end"/>
            </w:r>
          </w:hyperlink>
        </w:p>
        <w:p w14:paraId="0DBFDEB3" w14:textId="71E4DC2A"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39"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Search Incident to Detention versus Arrest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_Toc94360139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48</w:t>
            </w:r>
            <w:r w:rsidRPr="007A6720">
              <w:rPr>
                <w:rFonts w:ascii="Arial" w:hAnsi="Arial" w:cs="Arial"/>
                <w:noProof/>
                <w:webHidden/>
                <w:sz w:val="24"/>
                <w:szCs w:val="24"/>
              </w:rPr>
              <w:fldChar w:fldCharType="end"/>
            </w:r>
          </w:hyperlink>
        </w:p>
        <w:p w14:paraId="14CF3F2A" w14:textId="50F2EE91"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40"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General Principles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48</w:t>
            </w:r>
            <w:r w:rsidRPr="007A6720">
              <w:rPr>
                <w:rFonts w:ascii="Arial" w:hAnsi="Arial" w:cs="Arial"/>
                <w:noProof/>
                <w:webHidden/>
                <w:sz w:val="24"/>
                <w:szCs w:val="24"/>
              </w:rPr>
              <w:fldChar w:fldCharType="end"/>
            </w:r>
          </w:hyperlink>
        </w:p>
        <w:p w14:paraId="6DB6E255" w14:textId="15F55AC7"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41" w:history="1">
            <w:r w:rsidRPr="007A6720">
              <w:rPr>
                <w:rStyle w:val="Hyperlink"/>
                <w:rFonts w:ascii="Arial" w:hAnsi="Arial" w:cs="Arial"/>
                <w:noProof/>
                <w:sz w:val="24"/>
                <w:szCs w:val="24"/>
              </w:rPr>
              <w:t>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Search Incident to Arrest in a Home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49</w:t>
            </w:r>
            <w:r w:rsidRPr="007A6720">
              <w:rPr>
                <w:rFonts w:ascii="Arial" w:hAnsi="Arial" w:cs="Arial"/>
                <w:noProof/>
                <w:webHidden/>
                <w:sz w:val="24"/>
                <w:szCs w:val="24"/>
              </w:rPr>
              <w:fldChar w:fldCharType="end"/>
            </w:r>
          </w:hyperlink>
        </w:p>
        <w:p w14:paraId="1C15B9F0" w14:textId="547B23AE"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42" w:history="1">
            <w:r w:rsidRPr="007A6720">
              <w:rPr>
                <w:rStyle w:val="Hyperlink"/>
                <w:rFonts w:ascii="Arial" w:hAnsi="Arial" w:cs="Arial"/>
                <w:noProof/>
                <w:sz w:val="24"/>
                <w:szCs w:val="24"/>
              </w:rPr>
              <w:t>iv.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Cars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49</w:t>
            </w:r>
            <w:r w:rsidRPr="007A6720">
              <w:rPr>
                <w:rFonts w:ascii="Arial" w:hAnsi="Arial" w:cs="Arial"/>
                <w:noProof/>
                <w:webHidden/>
                <w:sz w:val="24"/>
                <w:szCs w:val="24"/>
              </w:rPr>
              <w:fldChar w:fldCharType="end"/>
            </w:r>
          </w:hyperlink>
        </w:p>
        <w:p w14:paraId="088AE4C3" w14:textId="1BB80EE9"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43"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Post-Seizure Supervision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50</w:t>
            </w:r>
            <w:r w:rsidRPr="007A6720">
              <w:rPr>
                <w:rFonts w:ascii="Arial" w:hAnsi="Arial" w:cs="Arial"/>
                <w:noProof/>
                <w:webHidden/>
                <w:sz w:val="24"/>
                <w:szCs w:val="24"/>
              </w:rPr>
              <w:fldChar w:fldCharType="end"/>
            </w:r>
          </w:hyperlink>
        </w:p>
        <w:p w14:paraId="5376C5A2" w14:textId="26D5A1FA"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44" w:history="1">
            <w:r w:rsidRPr="007A6720">
              <w:rPr>
                <w:rStyle w:val="Hyperlink"/>
                <w:rFonts w:ascii="Arial" w:hAnsi="Arial" w:cs="Arial"/>
                <w:noProof/>
                <w:sz w:val="24"/>
                <w:szCs w:val="24"/>
              </w:rPr>
              <w:t>vi.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Cellphones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51</w:t>
            </w:r>
            <w:r w:rsidRPr="007A6720">
              <w:rPr>
                <w:rFonts w:ascii="Arial" w:hAnsi="Arial" w:cs="Arial"/>
                <w:noProof/>
                <w:webHidden/>
                <w:sz w:val="24"/>
                <w:szCs w:val="24"/>
              </w:rPr>
              <w:fldChar w:fldCharType="end"/>
            </w:r>
          </w:hyperlink>
        </w:p>
        <w:p w14:paraId="0E88CBEB" w14:textId="44A14F36"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45" w:history="1">
            <w:r w:rsidRPr="007A6720">
              <w:rPr>
                <w:rStyle w:val="Hyperlink"/>
                <w:rFonts w:ascii="Arial" w:hAnsi="Arial" w:cs="Arial"/>
                <w:noProof/>
                <w:sz w:val="24"/>
                <w:szCs w:val="24"/>
              </w:rPr>
              <w:t>H.</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Strip Searches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52</w:t>
            </w:r>
            <w:r w:rsidRPr="007A6720">
              <w:rPr>
                <w:rFonts w:ascii="Arial" w:hAnsi="Arial" w:cs="Arial"/>
                <w:noProof/>
                <w:webHidden/>
                <w:sz w:val="24"/>
                <w:szCs w:val="24"/>
              </w:rPr>
              <w:fldChar w:fldCharType="end"/>
            </w:r>
          </w:hyperlink>
        </w:p>
        <w:p w14:paraId="3103B7B6" w14:textId="7765FA97"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46" w:history="1">
            <w:r w:rsidRPr="007A6720">
              <w:rPr>
                <w:rStyle w:val="Hyperlink"/>
                <w:rFonts w:ascii="Arial" w:hAnsi="Arial" w:cs="Arial"/>
                <w:noProof/>
                <w:sz w:val="24"/>
                <w:szCs w:val="24"/>
              </w:rPr>
              <w:t>I.</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Plain View Doctrine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54</w:t>
            </w:r>
            <w:r w:rsidRPr="007A6720">
              <w:rPr>
                <w:rFonts w:ascii="Arial" w:hAnsi="Arial" w:cs="Arial"/>
                <w:noProof/>
                <w:webHidden/>
                <w:sz w:val="24"/>
                <w:szCs w:val="24"/>
              </w:rPr>
              <w:fldChar w:fldCharType="end"/>
            </w:r>
          </w:hyperlink>
        </w:p>
        <w:p w14:paraId="76AB8393" w14:textId="4B8A863C"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47" w:history="1">
            <w:r w:rsidRPr="007A6720">
              <w:rPr>
                <w:rStyle w:val="Hyperlink"/>
                <w:rFonts w:ascii="Arial" w:hAnsi="Arial" w:cs="Arial"/>
                <w:noProof/>
                <w:sz w:val="24"/>
                <w:szCs w:val="24"/>
              </w:rPr>
              <w:t>J.</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Exigent Circumstances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55</w:t>
            </w:r>
            <w:r w:rsidRPr="007A6720">
              <w:rPr>
                <w:rFonts w:ascii="Arial" w:hAnsi="Arial" w:cs="Arial"/>
                <w:noProof/>
                <w:webHidden/>
                <w:sz w:val="24"/>
                <w:szCs w:val="24"/>
              </w:rPr>
              <w:fldChar w:fldCharType="end"/>
            </w:r>
          </w:hyperlink>
        </w:p>
        <w:p w14:paraId="2CE3A307" w14:textId="410E1499"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48"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The Right to Privacy in One's Home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55</w:t>
            </w:r>
            <w:r w:rsidRPr="007A6720">
              <w:rPr>
                <w:rFonts w:ascii="Arial" w:hAnsi="Arial" w:cs="Arial"/>
                <w:noProof/>
                <w:webHidden/>
                <w:sz w:val="24"/>
                <w:szCs w:val="24"/>
              </w:rPr>
              <w:fldChar w:fldCharType="end"/>
            </w:r>
          </w:hyperlink>
        </w:p>
        <w:p w14:paraId="33F20A80" w14:textId="2D524A92"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49"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Under the Controlled Drugs and Substances Act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_Toc94360149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55</w:t>
            </w:r>
            <w:r w:rsidRPr="007A6720">
              <w:rPr>
                <w:rFonts w:ascii="Arial" w:hAnsi="Arial" w:cs="Arial"/>
                <w:noProof/>
                <w:webHidden/>
                <w:sz w:val="24"/>
                <w:szCs w:val="24"/>
              </w:rPr>
              <w:fldChar w:fldCharType="end"/>
            </w:r>
          </w:hyperlink>
        </w:p>
        <w:p w14:paraId="6789AADD" w14:textId="266A862B"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50" w:history="1">
            <w:r w:rsidRPr="007A6720">
              <w:rPr>
                <w:rStyle w:val="Hyperlink"/>
                <w:rFonts w:ascii="Arial" w:hAnsi="Arial" w:cs="Arial"/>
                <w:noProof/>
                <w:sz w:val="24"/>
                <w:szCs w:val="24"/>
              </w:rPr>
              <w:t>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Under the Child and Family Services Act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56</w:t>
            </w:r>
            <w:r w:rsidRPr="007A6720">
              <w:rPr>
                <w:rFonts w:ascii="Arial" w:hAnsi="Arial" w:cs="Arial"/>
                <w:noProof/>
                <w:webHidden/>
                <w:sz w:val="24"/>
                <w:szCs w:val="24"/>
              </w:rPr>
              <w:fldChar w:fldCharType="end"/>
            </w:r>
          </w:hyperlink>
        </w:p>
        <w:p w14:paraId="276CBC60" w14:textId="13DFF78E"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51" w:history="1">
            <w:r w:rsidRPr="007A6720">
              <w:rPr>
                <w:rStyle w:val="Hyperlink"/>
                <w:rFonts w:ascii="Arial" w:hAnsi="Arial" w:cs="Arial"/>
                <w:noProof/>
                <w:sz w:val="24"/>
                <w:szCs w:val="24"/>
              </w:rPr>
              <w:t>iv.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Under the Criminal Code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57</w:t>
            </w:r>
            <w:r w:rsidRPr="007A6720">
              <w:rPr>
                <w:rFonts w:ascii="Arial" w:hAnsi="Arial" w:cs="Arial"/>
                <w:noProof/>
                <w:webHidden/>
                <w:sz w:val="24"/>
                <w:szCs w:val="24"/>
              </w:rPr>
              <w:fldChar w:fldCharType="end"/>
            </w:r>
          </w:hyperlink>
        </w:p>
        <w:p w14:paraId="11836B6C" w14:textId="403EE594"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52"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At Common Law</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57</w:t>
            </w:r>
            <w:r w:rsidRPr="007A6720">
              <w:rPr>
                <w:rFonts w:ascii="Arial" w:hAnsi="Arial" w:cs="Arial"/>
                <w:noProof/>
                <w:webHidden/>
                <w:sz w:val="24"/>
                <w:szCs w:val="24"/>
              </w:rPr>
              <w:fldChar w:fldCharType="end"/>
            </w:r>
          </w:hyperlink>
        </w:p>
        <w:p w14:paraId="79BCB8B7" w14:textId="640FD2DA"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53" w:history="1">
            <w:r w:rsidRPr="007A6720">
              <w:rPr>
                <w:rStyle w:val="Hyperlink"/>
                <w:rFonts w:ascii="Arial" w:hAnsi="Arial" w:cs="Arial"/>
                <w:noProof/>
                <w:sz w:val="24"/>
                <w:szCs w:val="24"/>
              </w:rPr>
              <w:t>K.</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Motor Vehicle Searches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57</w:t>
            </w:r>
            <w:r w:rsidRPr="007A6720">
              <w:rPr>
                <w:rFonts w:ascii="Arial" w:hAnsi="Arial" w:cs="Arial"/>
                <w:noProof/>
                <w:webHidden/>
                <w:sz w:val="24"/>
                <w:szCs w:val="24"/>
              </w:rPr>
              <w:fldChar w:fldCharType="end"/>
            </w:r>
          </w:hyperlink>
        </w:p>
        <w:p w14:paraId="5807444F" w14:textId="2AC26750"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54" w:history="1">
            <w:r w:rsidRPr="007A6720">
              <w:rPr>
                <w:rStyle w:val="Hyperlink"/>
                <w:rFonts w:ascii="Arial" w:hAnsi="Arial" w:cs="Arial"/>
                <w:noProof/>
                <w:sz w:val="24"/>
                <w:szCs w:val="24"/>
              </w:rPr>
              <w:t>L.</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Border-Searches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58</w:t>
            </w:r>
            <w:r w:rsidRPr="007A6720">
              <w:rPr>
                <w:rFonts w:ascii="Arial" w:hAnsi="Arial" w:cs="Arial"/>
                <w:noProof/>
                <w:webHidden/>
                <w:sz w:val="24"/>
                <w:szCs w:val="24"/>
              </w:rPr>
              <w:fldChar w:fldCharType="end"/>
            </w:r>
          </w:hyperlink>
        </w:p>
        <w:p w14:paraId="29D4600B" w14:textId="0FFE2243"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55"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Manner of Execution of a Search</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58</w:t>
            </w:r>
            <w:r w:rsidRPr="007A6720">
              <w:rPr>
                <w:rFonts w:ascii="Arial" w:hAnsi="Arial" w:cs="Arial"/>
                <w:noProof/>
                <w:webHidden/>
                <w:sz w:val="24"/>
                <w:szCs w:val="24"/>
              </w:rPr>
              <w:fldChar w:fldCharType="end"/>
            </w:r>
          </w:hyperlink>
        </w:p>
        <w:p w14:paraId="53755B90" w14:textId="6166D8D5" w:rsidR="007A6720" w:rsidRPr="007A6720" w:rsidRDefault="007A6720" w:rsidP="007A6720">
          <w:pPr>
            <w:pStyle w:val="TOC2"/>
            <w:tabs>
              <w:tab w:val="left" w:pos="960"/>
              <w:tab w:val="right" w:leader="dot" w:pos="8630"/>
            </w:tabs>
            <w:spacing w:line="480" w:lineRule="auto"/>
            <w:rPr>
              <w:rFonts w:ascii="Arial" w:eastAsiaTheme="minorEastAsia" w:hAnsi="Arial" w:cs="Arial"/>
              <w:b w:val="0"/>
              <w:noProof/>
              <w:sz w:val="24"/>
              <w:szCs w:val="24"/>
              <w:lang w:val="en-CA"/>
            </w:rPr>
          </w:pPr>
          <w:hyperlink w:anchor="_Toc94360156" w:history="1">
            <w:r w:rsidRPr="007A6720">
              <w:rPr>
                <w:rStyle w:val="Hyperlink"/>
                <w:rFonts w:ascii="Arial" w:hAnsi="Arial" w:cs="Arial"/>
                <w:noProof/>
                <w:sz w:val="24"/>
                <w:szCs w:val="24"/>
              </w:rPr>
              <w:t>M.</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Bodily Searches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58</w:t>
            </w:r>
            <w:r w:rsidRPr="007A6720">
              <w:rPr>
                <w:rFonts w:ascii="Arial" w:hAnsi="Arial" w:cs="Arial"/>
                <w:noProof/>
                <w:webHidden/>
                <w:sz w:val="24"/>
                <w:szCs w:val="24"/>
              </w:rPr>
              <w:fldChar w:fldCharType="end"/>
            </w:r>
          </w:hyperlink>
        </w:p>
        <w:p w14:paraId="58468DC9" w14:textId="326075E4"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57" w:history="1">
            <w:r w:rsidRPr="007A6720">
              <w:rPr>
                <w:rStyle w:val="Hyperlink"/>
                <w:rFonts w:ascii="Arial" w:hAnsi="Arial" w:cs="Arial"/>
                <w:noProof/>
                <w:sz w:val="24"/>
                <w:szCs w:val="24"/>
              </w:rPr>
              <w:t>N.</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Production Orders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59</w:t>
            </w:r>
            <w:r w:rsidRPr="007A6720">
              <w:rPr>
                <w:rFonts w:ascii="Arial" w:hAnsi="Arial" w:cs="Arial"/>
                <w:noProof/>
                <w:webHidden/>
                <w:sz w:val="24"/>
                <w:szCs w:val="24"/>
              </w:rPr>
              <w:fldChar w:fldCharType="end"/>
            </w:r>
          </w:hyperlink>
        </w:p>
        <w:p w14:paraId="25BA3622" w14:textId="03F2CE2D"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58"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Challenging a Production Order</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59</w:t>
            </w:r>
            <w:r w:rsidRPr="007A6720">
              <w:rPr>
                <w:rFonts w:ascii="Arial" w:hAnsi="Arial" w:cs="Arial"/>
                <w:noProof/>
                <w:webHidden/>
                <w:sz w:val="24"/>
                <w:szCs w:val="24"/>
              </w:rPr>
              <w:fldChar w:fldCharType="end"/>
            </w:r>
          </w:hyperlink>
        </w:p>
        <w:p w14:paraId="73BB6F38" w14:textId="6445DE18"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59"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Text Messages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_Toc94360159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60</w:t>
            </w:r>
            <w:r w:rsidRPr="007A6720">
              <w:rPr>
                <w:rFonts w:ascii="Arial" w:hAnsi="Arial" w:cs="Arial"/>
                <w:noProof/>
                <w:webHidden/>
                <w:sz w:val="24"/>
                <w:szCs w:val="24"/>
              </w:rPr>
              <w:fldChar w:fldCharType="end"/>
            </w:r>
          </w:hyperlink>
        </w:p>
        <w:p w14:paraId="78A6B25F" w14:textId="56DF488C"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60" w:history="1">
            <w:r w:rsidRPr="007A6720">
              <w:rPr>
                <w:rStyle w:val="Hyperlink"/>
                <w:rFonts w:ascii="Arial" w:hAnsi="Arial" w:cs="Arial"/>
                <w:noProof/>
                <w:sz w:val="24"/>
                <w:szCs w:val="24"/>
              </w:rPr>
              <w:t>O.</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Number Production Warrants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_Toc94360160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61</w:t>
            </w:r>
            <w:r w:rsidRPr="007A6720">
              <w:rPr>
                <w:rFonts w:ascii="Arial" w:hAnsi="Arial" w:cs="Arial"/>
                <w:noProof/>
                <w:webHidden/>
                <w:sz w:val="24"/>
                <w:szCs w:val="24"/>
              </w:rPr>
              <w:fldChar w:fldCharType="end"/>
            </w:r>
          </w:hyperlink>
        </w:p>
        <w:p w14:paraId="2E15F09B" w14:textId="40BA7833"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61" w:history="1">
            <w:r w:rsidRPr="007A6720">
              <w:rPr>
                <w:rStyle w:val="Hyperlink"/>
                <w:rFonts w:ascii="Arial" w:hAnsi="Arial" w:cs="Arial"/>
                <w:noProof/>
                <w:sz w:val="24"/>
                <w:szCs w:val="24"/>
              </w:rPr>
              <w:t>P.</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Interception of Private Communications: S.186(1)</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_Toc94360161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61</w:t>
            </w:r>
            <w:r w:rsidRPr="007A6720">
              <w:rPr>
                <w:rFonts w:ascii="Arial" w:hAnsi="Arial" w:cs="Arial"/>
                <w:noProof/>
                <w:webHidden/>
                <w:sz w:val="24"/>
                <w:szCs w:val="24"/>
              </w:rPr>
              <w:fldChar w:fldCharType="end"/>
            </w:r>
          </w:hyperlink>
        </w:p>
        <w:p w14:paraId="1ABC3B29" w14:textId="0282D757"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62"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The Test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_Toc94360162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61</w:t>
            </w:r>
            <w:r w:rsidRPr="007A6720">
              <w:rPr>
                <w:rFonts w:ascii="Arial" w:hAnsi="Arial" w:cs="Arial"/>
                <w:noProof/>
                <w:webHidden/>
                <w:sz w:val="24"/>
                <w:szCs w:val="24"/>
              </w:rPr>
              <w:fldChar w:fldCharType="end"/>
            </w:r>
          </w:hyperlink>
        </w:p>
        <w:p w14:paraId="423646FF" w14:textId="3FAE3226"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63"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The Probable Cause Requirement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_Toc94360163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61</w:t>
            </w:r>
            <w:r w:rsidRPr="007A6720">
              <w:rPr>
                <w:rFonts w:ascii="Arial" w:hAnsi="Arial" w:cs="Arial"/>
                <w:noProof/>
                <w:webHidden/>
                <w:sz w:val="24"/>
                <w:szCs w:val="24"/>
              </w:rPr>
              <w:fldChar w:fldCharType="end"/>
            </w:r>
          </w:hyperlink>
        </w:p>
        <w:p w14:paraId="374E79D5" w14:textId="19EE4FB8"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64" w:history="1">
            <w:r w:rsidRPr="007A6720">
              <w:rPr>
                <w:rStyle w:val="Hyperlink"/>
                <w:rFonts w:ascii="Arial" w:hAnsi="Arial" w:cs="Arial"/>
                <w:noProof/>
                <w:sz w:val="24"/>
                <w:szCs w:val="24"/>
              </w:rPr>
              <w:t>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The Investigative Necessity Requirement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_Toc94360164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62</w:t>
            </w:r>
            <w:r w:rsidRPr="007A6720">
              <w:rPr>
                <w:rFonts w:ascii="Arial" w:hAnsi="Arial" w:cs="Arial"/>
                <w:noProof/>
                <w:webHidden/>
                <w:sz w:val="24"/>
                <w:szCs w:val="24"/>
              </w:rPr>
              <w:fldChar w:fldCharType="end"/>
            </w:r>
          </w:hyperlink>
        </w:p>
        <w:p w14:paraId="58A4A802" w14:textId="33CF2AF5"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65" w:history="1">
            <w:r w:rsidRPr="007A6720">
              <w:rPr>
                <w:rStyle w:val="Hyperlink"/>
                <w:rFonts w:ascii="Arial" w:hAnsi="Arial" w:cs="Arial"/>
                <w:noProof/>
                <w:sz w:val="24"/>
                <w:szCs w:val="24"/>
              </w:rPr>
              <w:t>iv.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"Known" Persons under s. 185(1)(e)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_Toc94360165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63</w:t>
            </w:r>
            <w:r w:rsidRPr="007A6720">
              <w:rPr>
                <w:rFonts w:ascii="Arial" w:hAnsi="Arial" w:cs="Arial"/>
                <w:noProof/>
                <w:webHidden/>
                <w:sz w:val="24"/>
                <w:szCs w:val="24"/>
              </w:rPr>
              <w:fldChar w:fldCharType="end"/>
            </w:r>
          </w:hyperlink>
        </w:p>
        <w:p w14:paraId="3FCE4771" w14:textId="4C470501"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66"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The Standard of Review</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_Toc94360166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63</w:t>
            </w:r>
            <w:r w:rsidRPr="007A6720">
              <w:rPr>
                <w:rFonts w:ascii="Arial" w:hAnsi="Arial" w:cs="Arial"/>
                <w:noProof/>
                <w:webHidden/>
                <w:sz w:val="24"/>
                <w:szCs w:val="24"/>
              </w:rPr>
              <w:fldChar w:fldCharType="end"/>
            </w:r>
          </w:hyperlink>
        </w:p>
        <w:p w14:paraId="67979769" w14:textId="6A52C8C9"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67" w:history="1">
            <w:r w:rsidRPr="007A6720">
              <w:rPr>
                <w:rStyle w:val="Hyperlink"/>
                <w:rFonts w:ascii="Arial" w:hAnsi="Arial" w:cs="Arial"/>
                <w:noProof/>
                <w:sz w:val="24"/>
                <w:szCs w:val="24"/>
              </w:rPr>
              <w:t>vi.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Examples from the Case Law</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_Toc94360167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64</w:t>
            </w:r>
            <w:r w:rsidRPr="007A6720">
              <w:rPr>
                <w:rFonts w:ascii="Arial" w:hAnsi="Arial" w:cs="Arial"/>
                <w:noProof/>
                <w:webHidden/>
                <w:sz w:val="24"/>
                <w:szCs w:val="24"/>
              </w:rPr>
              <w:fldChar w:fldCharType="end"/>
            </w:r>
          </w:hyperlink>
        </w:p>
        <w:p w14:paraId="3D987D6C" w14:textId="2D3AD2D5" w:rsidR="007A6720" w:rsidRPr="007A6720" w:rsidRDefault="007A6720" w:rsidP="007A6720">
          <w:pPr>
            <w:pStyle w:val="TOC1"/>
            <w:rPr>
              <w:rFonts w:eastAsiaTheme="minorEastAsia"/>
              <w:noProof/>
              <w:lang w:val="en-CA"/>
            </w:rPr>
          </w:pPr>
          <w:hyperlink w:anchor="_Toc94360168" w:history="1">
            <w:r w:rsidRPr="007A6720">
              <w:rPr>
                <w:rStyle w:val="Hyperlink"/>
                <w:rFonts w:ascii="Arial" w:hAnsi="Arial" w:cs="Arial"/>
                <w:noProof/>
                <w:sz w:val="24"/>
                <w:szCs w:val="24"/>
              </w:rPr>
              <w:t>SECTION 9</w:t>
            </w:r>
            <w:r w:rsidRPr="007A6720">
              <w:rPr>
                <w:noProof/>
                <w:webHidden/>
              </w:rPr>
              <w:tab/>
            </w:r>
            <w:r w:rsidRPr="007A6720">
              <w:rPr>
                <w:noProof/>
                <w:webHidden/>
              </w:rPr>
              <w:fldChar w:fldCharType="begin"/>
            </w:r>
            <w:r w:rsidRPr="007A6720">
              <w:rPr>
                <w:noProof/>
                <w:webHidden/>
              </w:rPr>
              <w:instrText xml:space="preserve"> PAGEREF _Toc94360168 \h </w:instrText>
            </w:r>
            <w:r w:rsidRPr="007A6720">
              <w:rPr>
                <w:noProof/>
                <w:webHidden/>
              </w:rPr>
            </w:r>
            <w:r w:rsidRPr="007A6720">
              <w:rPr>
                <w:noProof/>
                <w:webHidden/>
              </w:rPr>
              <w:fldChar w:fldCharType="separate"/>
            </w:r>
            <w:r w:rsidR="00C57050">
              <w:rPr>
                <w:noProof/>
                <w:webHidden/>
              </w:rPr>
              <w:t>64</w:t>
            </w:r>
            <w:r w:rsidRPr="007A6720">
              <w:rPr>
                <w:noProof/>
                <w:webHidden/>
              </w:rPr>
              <w:fldChar w:fldCharType="end"/>
            </w:r>
          </w:hyperlink>
        </w:p>
        <w:p w14:paraId="1E106FC1" w14:textId="3E486396"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69"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Ancillary Powers Doctrine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_Toc94360169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65</w:t>
            </w:r>
            <w:r w:rsidRPr="007A6720">
              <w:rPr>
                <w:rFonts w:ascii="Arial" w:hAnsi="Arial" w:cs="Arial"/>
                <w:noProof/>
                <w:webHidden/>
                <w:sz w:val="24"/>
                <w:szCs w:val="24"/>
              </w:rPr>
              <w:fldChar w:fldCharType="end"/>
            </w:r>
          </w:hyperlink>
        </w:p>
        <w:p w14:paraId="779BF895" w14:textId="67517035"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70"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Definition of “Arbitrary”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66</w:t>
            </w:r>
            <w:r w:rsidRPr="007A6720">
              <w:rPr>
                <w:rFonts w:ascii="Arial" w:hAnsi="Arial" w:cs="Arial"/>
                <w:noProof/>
                <w:webHidden/>
                <w:sz w:val="24"/>
                <w:szCs w:val="24"/>
              </w:rPr>
              <w:fldChar w:fldCharType="end"/>
            </w:r>
          </w:hyperlink>
        </w:p>
        <w:p w14:paraId="359C522F" w14:textId="5ADEE5A9"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r w:rsidRPr="007A6720">
            <w:rPr>
              <w:rStyle w:val="Hyperlink"/>
              <w:rFonts w:ascii="Arial" w:hAnsi="Arial" w:cs="Arial"/>
              <w:noProof/>
              <w:sz w:val="24"/>
              <w:szCs w:val="24"/>
            </w:rPr>
            <w:lastRenderedPageBreak/>
            <w:fldChar w:fldCharType="begin"/>
          </w:r>
          <w:r w:rsidRPr="007A6720">
            <w:rPr>
              <w:rStyle w:val="Hyperlink"/>
              <w:rFonts w:ascii="Arial" w:hAnsi="Arial" w:cs="Arial"/>
              <w:noProof/>
              <w:sz w:val="24"/>
              <w:szCs w:val="24"/>
            </w:rPr>
            <w:instrText xml:space="preserve"> </w:instrText>
          </w:r>
          <w:r w:rsidRPr="007A6720">
            <w:rPr>
              <w:rFonts w:ascii="Arial" w:hAnsi="Arial" w:cs="Arial"/>
              <w:noProof/>
              <w:sz w:val="24"/>
              <w:szCs w:val="24"/>
            </w:rPr>
            <w:instrText>HYPERLINK \l "_Toc94360171"</w:instrText>
          </w:r>
          <w:r w:rsidRPr="007A6720">
            <w:rPr>
              <w:rStyle w:val="Hyperlink"/>
              <w:rFonts w:ascii="Arial" w:hAnsi="Arial" w:cs="Arial"/>
              <w:noProof/>
              <w:sz w:val="24"/>
              <w:szCs w:val="24"/>
            </w:rPr>
            <w:instrText xml:space="preserve"> </w:instrText>
          </w:r>
          <w:r w:rsidRPr="007A6720">
            <w:rPr>
              <w:rStyle w:val="Hyperlink"/>
              <w:rFonts w:ascii="Arial" w:hAnsi="Arial" w:cs="Arial"/>
              <w:noProof/>
              <w:sz w:val="24"/>
              <w:szCs w:val="24"/>
            </w:rPr>
          </w:r>
          <w:r w:rsidRPr="007A6720">
            <w:rPr>
              <w:rStyle w:val="Hyperlink"/>
              <w:rFonts w:ascii="Arial" w:hAnsi="Arial" w:cs="Arial"/>
              <w:noProof/>
              <w:sz w:val="24"/>
              <w:szCs w:val="24"/>
            </w:rPr>
            <w:fldChar w:fldCharType="separate"/>
          </w:r>
          <w:r w:rsidRPr="007A6720">
            <w:rPr>
              <w:rStyle w:val="Hyperlink"/>
              <w:rFonts w:ascii="Arial" w:hAnsi="Arial" w:cs="Arial"/>
              <w:noProof/>
              <w:sz w:val="24"/>
              <w:szCs w:val="24"/>
            </w:rPr>
            <w:t>C.</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General Principles on Arrest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66</w:t>
          </w:r>
          <w:r w:rsidRPr="007A6720">
            <w:rPr>
              <w:rFonts w:ascii="Arial" w:hAnsi="Arial" w:cs="Arial"/>
              <w:noProof/>
              <w:webHidden/>
              <w:sz w:val="24"/>
              <w:szCs w:val="24"/>
            </w:rPr>
            <w:fldChar w:fldCharType="end"/>
          </w:r>
          <w:r w:rsidRPr="007A6720">
            <w:rPr>
              <w:rStyle w:val="Hyperlink"/>
              <w:rFonts w:ascii="Arial" w:hAnsi="Arial" w:cs="Arial"/>
              <w:noProof/>
              <w:sz w:val="24"/>
              <w:szCs w:val="24"/>
            </w:rPr>
            <w:fldChar w:fldCharType="end"/>
          </w:r>
        </w:p>
        <w:p w14:paraId="490997D6" w14:textId="65D1B42C" w:rsidR="007A6720" w:rsidRPr="007A6720" w:rsidRDefault="007A6720" w:rsidP="007A6720">
          <w:pPr>
            <w:pStyle w:val="TOC3"/>
            <w:tabs>
              <w:tab w:val="left" w:pos="1200"/>
              <w:tab w:val="right" w:leader="dot" w:pos="8630"/>
            </w:tabs>
            <w:spacing w:line="480" w:lineRule="auto"/>
            <w:rPr>
              <w:rFonts w:ascii="Arial" w:eastAsiaTheme="minorEastAsia" w:hAnsi="Arial" w:cs="Arial"/>
              <w:noProof/>
              <w:sz w:val="24"/>
              <w:szCs w:val="24"/>
              <w:lang w:val="en-CA"/>
            </w:rPr>
          </w:pPr>
          <w:r w:rsidRPr="007A6720">
            <w:rPr>
              <w:rStyle w:val="Hyperlink"/>
              <w:rFonts w:ascii="Arial" w:hAnsi="Arial" w:cs="Arial"/>
              <w:noProof/>
              <w:sz w:val="24"/>
              <w:szCs w:val="24"/>
            </w:rPr>
            <w:fldChar w:fldCharType="begin"/>
          </w:r>
          <w:r w:rsidRPr="007A6720">
            <w:rPr>
              <w:rStyle w:val="Hyperlink"/>
              <w:rFonts w:ascii="Arial" w:hAnsi="Arial" w:cs="Arial"/>
              <w:noProof/>
              <w:sz w:val="24"/>
              <w:szCs w:val="24"/>
            </w:rPr>
            <w:instrText xml:space="preserve"> </w:instrText>
          </w:r>
          <w:r w:rsidRPr="007A6720">
            <w:rPr>
              <w:rFonts w:ascii="Arial" w:hAnsi="Arial" w:cs="Arial"/>
              <w:noProof/>
              <w:sz w:val="24"/>
              <w:szCs w:val="24"/>
            </w:rPr>
            <w:instrText>HYPERLINK \l "_Toc94360172"</w:instrText>
          </w:r>
          <w:r w:rsidRPr="007A6720">
            <w:rPr>
              <w:rStyle w:val="Hyperlink"/>
              <w:rFonts w:ascii="Arial" w:hAnsi="Arial" w:cs="Arial"/>
              <w:noProof/>
              <w:sz w:val="24"/>
              <w:szCs w:val="24"/>
            </w:rPr>
            <w:instrText xml:space="preserve"> </w:instrText>
          </w:r>
          <w:r w:rsidRPr="007A6720">
            <w:rPr>
              <w:rStyle w:val="Hyperlink"/>
              <w:rFonts w:ascii="Arial" w:hAnsi="Arial" w:cs="Arial"/>
              <w:noProof/>
              <w:sz w:val="24"/>
              <w:szCs w:val="24"/>
            </w:rPr>
          </w:r>
          <w:r w:rsidRPr="007A6720">
            <w:rPr>
              <w:rStyle w:val="Hyperlink"/>
              <w:rFonts w:ascii="Arial" w:hAnsi="Arial" w:cs="Arial"/>
              <w:noProof/>
              <w:sz w:val="24"/>
              <w:szCs w:val="24"/>
            </w:rPr>
            <w:fldChar w:fldCharType="separate"/>
          </w:r>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Arrests inside a home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68</w:t>
          </w:r>
          <w:r w:rsidRPr="007A6720">
            <w:rPr>
              <w:rFonts w:ascii="Arial" w:hAnsi="Arial" w:cs="Arial"/>
              <w:noProof/>
              <w:webHidden/>
              <w:sz w:val="24"/>
              <w:szCs w:val="24"/>
            </w:rPr>
            <w:fldChar w:fldCharType="end"/>
          </w:r>
          <w:r w:rsidRPr="007A6720">
            <w:rPr>
              <w:rStyle w:val="Hyperlink"/>
              <w:rFonts w:ascii="Arial" w:hAnsi="Arial" w:cs="Arial"/>
              <w:noProof/>
              <w:sz w:val="24"/>
              <w:szCs w:val="24"/>
            </w:rPr>
            <w:fldChar w:fldCharType="end"/>
          </w:r>
        </w:p>
        <w:p w14:paraId="1012C084" w14:textId="68CE14CC"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73" w:history="1">
            <w:r w:rsidRPr="007A6720">
              <w:rPr>
                <w:rStyle w:val="Hyperlink"/>
                <w:rFonts w:ascii="Arial" w:hAnsi="Arial" w:cs="Arial"/>
                <w:noProof/>
                <w:sz w:val="24"/>
                <w:szCs w:val="24"/>
              </w:rPr>
              <w:t>D.</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General Principles on Detention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69</w:t>
            </w:r>
            <w:r w:rsidRPr="007A6720">
              <w:rPr>
                <w:rFonts w:ascii="Arial" w:hAnsi="Arial" w:cs="Arial"/>
                <w:noProof/>
                <w:webHidden/>
                <w:sz w:val="24"/>
                <w:szCs w:val="24"/>
              </w:rPr>
              <w:fldChar w:fldCharType="end"/>
            </w:r>
          </w:hyperlink>
        </w:p>
        <w:p w14:paraId="3A703E47" w14:textId="4A86DF9E"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74"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Officer’s Evidence Regarding Detention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69</w:t>
            </w:r>
            <w:r w:rsidRPr="007A6720">
              <w:rPr>
                <w:rFonts w:ascii="Arial" w:hAnsi="Arial" w:cs="Arial"/>
                <w:noProof/>
                <w:webHidden/>
                <w:sz w:val="24"/>
                <w:szCs w:val="24"/>
              </w:rPr>
              <w:fldChar w:fldCharType="end"/>
            </w:r>
          </w:hyperlink>
        </w:p>
        <w:p w14:paraId="7F11F7B7" w14:textId="590A2D8F"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75"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Reasonable Suspicion Standard</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69</w:t>
            </w:r>
            <w:r w:rsidRPr="007A6720">
              <w:rPr>
                <w:rFonts w:ascii="Arial" w:hAnsi="Arial" w:cs="Arial"/>
                <w:noProof/>
                <w:webHidden/>
                <w:sz w:val="24"/>
                <w:szCs w:val="24"/>
              </w:rPr>
              <w:fldChar w:fldCharType="end"/>
            </w:r>
          </w:hyperlink>
        </w:p>
        <w:p w14:paraId="6F592415" w14:textId="0C92F4BB"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76" w:history="1">
            <w:r w:rsidRPr="007A6720">
              <w:rPr>
                <w:rStyle w:val="Hyperlink"/>
                <w:rFonts w:ascii="Arial" w:hAnsi="Arial" w:cs="Arial"/>
                <w:noProof/>
                <w:sz w:val="24"/>
                <w:szCs w:val="24"/>
              </w:rPr>
              <w:t>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Duration and Nature of Detention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70</w:t>
            </w:r>
            <w:r w:rsidRPr="007A6720">
              <w:rPr>
                <w:rFonts w:ascii="Arial" w:hAnsi="Arial" w:cs="Arial"/>
                <w:noProof/>
                <w:webHidden/>
                <w:sz w:val="24"/>
                <w:szCs w:val="24"/>
              </w:rPr>
              <w:fldChar w:fldCharType="end"/>
            </w:r>
          </w:hyperlink>
        </w:p>
        <w:p w14:paraId="49CA3C87" w14:textId="6E33D331"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77" w:history="1">
            <w:r w:rsidRPr="007A6720">
              <w:rPr>
                <w:rStyle w:val="Hyperlink"/>
                <w:rFonts w:ascii="Arial" w:hAnsi="Arial" w:cs="Arial"/>
                <w:noProof/>
                <w:sz w:val="24"/>
                <w:szCs w:val="24"/>
              </w:rPr>
              <w:t>E.</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Detention versus Arrest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71</w:t>
            </w:r>
            <w:r w:rsidRPr="007A6720">
              <w:rPr>
                <w:rFonts w:ascii="Arial" w:hAnsi="Arial" w:cs="Arial"/>
                <w:noProof/>
                <w:webHidden/>
                <w:sz w:val="24"/>
                <w:szCs w:val="24"/>
              </w:rPr>
              <w:fldChar w:fldCharType="end"/>
            </w:r>
          </w:hyperlink>
        </w:p>
        <w:p w14:paraId="6E80ED78" w14:textId="2CE19C25"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78" w:history="1">
            <w:r w:rsidRPr="007A6720">
              <w:rPr>
                <w:rStyle w:val="Hyperlink"/>
                <w:rFonts w:ascii="Arial" w:hAnsi="Arial" w:cs="Arial"/>
                <w:noProof/>
                <w:sz w:val="24"/>
                <w:szCs w:val="24"/>
              </w:rPr>
              <w:t>D.</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Psychological Detention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72</w:t>
            </w:r>
            <w:r w:rsidRPr="007A6720">
              <w:rPr>
                <w:rFonts w:ascii="Arial" w:hAnsi="Arial" w:cs="Arial"/>
                <w:noProof/>
                <w:webHidden/>
                <w:sz w:val="24"/>
                <w:szCs w:val="24"/>
              </w:rPr>
              <w:fldChar w:fldCharType="end"/>
            </w:r>
          </w:hyperlink>
        </w:p>
        <w:p w14:paraId="6322FA0B" w14:textId="5D3EE6E3"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79" w:history="1">
            <w:r w:rsidRPr="007A6720">
              <w:rPr>
                <w:rStyle w:val="Hyperlink"/>
                <w:rFonts w:ascii="Arial" w:hAnsi="Arial" w:cs="Arial"/>
                <w:noProof/>
                <w:sz w:val="24"/>
                <w:szCs w:val="24"/>
              </w:rPr>
              <w:t>E.</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The Smell of Marijuana as Grounds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_Toc94360179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73</w:t>
            </w:r>
            <w:r w:rsidRPr="007A6720">
              <w:rPr>
                <w:rFonts w:ascii="Arial" w:hAnsi="Arial" w:cs="Arial"/>
                <w:noProof/>
                <w:webHidden/>
                <w:sz w:val="24"/>
                <w:szCs w:val="24"/>
              </w:rPr>
              <w:fldChar w:fldCharType="end"/>
            </w:r>
          </w:hyperlink>
        </w:p>
        <w:p w14:paraId="4FDF761A" w14:textId="326E850D"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80" w:history="1">
            <w:r w:rsidRPr="007A6720">
              <w:rPr>
                <w:rStyle w:val="Hyperlink"/>
                <w:rFonts w:ascii="Arial" w:hAnsi="Arial" w:cs="Arial"/>
                <w:noProof/>
                <w:sz w:val="24"/>
                <w:szCs w:val="24"/>
              </w:rPr>
              <w:t>F.</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Motor Vehicle Detentions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_Toc94360180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74</w:t>
            </w:r>
            <w:r w:rsidRPr="007A6720">
              <w:rPr>
                <w:rFonts w:ascii="Arial" w:hAnsi="Arial" w:cs="Arial"/>
                <w:noProof/>
                <w:webHidden/>
                <w:sz w:val="24"/>
                <w:szCs w:val="24"/>
              </w:rPr>
              <w:fldChar w:fldCharType="end"/>
            </w:r>
          </w:hyperlink>
        </w:p>
        <w:p w14:paraId="4AC291D2" w14:textId="097AC043"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81"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General Principles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_Toc94360181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74</w:t>
            </w:r>
            <w:r w:rsidRPr="007A6720">
              <w:rPr>
                <w:rFonts w:ascii="Arial" w:hAnsi="Arial" w:cs="Arial"/>
                <w:noProof/>
                <w:webHidden/>
                <w:sz w:val="24"/>
                <w:szCs w:val="24"/>
              </w:rPr>
              <w:fldChar w:fldCharType="end"/>
            </w:r>
          </w:hyperlink>
        </w:p>
        <w:p w14:paraId="2560FEFB" w14:textId="2321F229"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82"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Section 48(1) of the HTA</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_Toc94360182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75</w:t>
            </w:r>
            <w:r w:rsidRPr="007A6720">
              <w:rPr>
                <w:rFonts w:ascii="Arial" w:hAnsi="Arial" w:cs="Arial"/>
                <w:noProof/>
                <w:webHidden/>
                <w:sz w:val="24"/>
                <w:szCs w:val="24"/>
              </w:rPr>
              <w:fldChar w:fldCharType="end"/>
            </w:r>
          </w:hyperlink>
        </w:p>
        <w:p w14:paraId="1522A6EC" w14:textId="73D27FF6"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83" w:history="1">
            <w:r w:rsidRPr="007A6720">
              <w:rPr>
                <w:rStyle w:val="Hyperlink"/>
                <w:rFonts w:ascii="Arial" w:hAnsi="Arial" w:cs="Arial"/>
                <w:noProof/>
                <w:sz w:val="24"/>
                <w:szCs w:val="24"/>
              </w:rPr>
              <w:t>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Section 216(1) of the HTA</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_Toc94360183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76</w:t>
            </w:r>
            <w:r w:rsidRPr="007A6720">
              <w:rPr>
                <w:rFonts w:ascii="Arial" w:hAnsi="Arial" w:cs="Arial"/>
                <w:noProof/>
                <w:webHidden/>
                <w:sz w:val="24"/>
                <w:szCs w:val="24"/>
              </w:rPr>
              <w:fldChar w:fldCharType="end"/>
            </w:r>
          </w:hyperlink>
        </w:p>
        <w:p w14:paraId="6D6A6700" w14:textId="79ACAE83"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84" w:history="1">
            <w:r w:rsidRPr="007A6720">
              <w:rPr>
                <w:rStyle w:val="Hyperlink"/>
                <w:rFonts w:ascii="Arial" w:hAnsi="Arial" w:cs="Arial"/>
                <w:noProof/>
                <w:sz w:val="24"/>
                <w:szCs w:val="24"/>
              </w:rPr>
              <w:t>iv.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Standard of Review</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_Toc94360184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77</w:t>
            </w:r>
            <w:r w:rsidRPr="007A6720">
              <w:rPr>
                <w:rFonts w:ascii="Arial" w:hAnsi="Arial" w:cs="Arial"/>
                <w:noProof/>
                <w:webHidden/>
                <w:sz w:val="24"/>
                <w:szCs w:val="24"/>
              </w:rPr>
              <w:fldChar w:fldCharType="end"/>
            </w:r>
          </w:hyperlink>
        </w:p>
        <w:p w14:paraId="25FE5ED7" w14:textId="2574D2CE"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85"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CPIC Check During Detention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_Toc94360185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77</w:t>
            </w:r>
            <w:r w:rsidRPr="007A6720">
              <w:rPr>
                <w:rFonts w:ascii="Arial" w:hAnsi="Arial" w:cs="Arial"/>
                <w:noProof/>
                <w:webHidden/>
                <w:sz w:val="24"/>
                <w:szCs w:val="24"/>
              </w:rPr>
              <w:fldChar w:fldCharType="end"/>
            </w:r>
          </w:hyperlink>
        </w:p>
        <w:p w14:paraId="2A89310D" w14:textId="49EB1D3F"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86" w:history="1">
            <w:r w:rsidRPr="007A6720">
              <w:rPr>
                <w:rStyle w:val="Hyperlink"/>
                <w:rFonts w:ascii="Arial" w:hAnsi="Arial" w:cs="Arial"/>
                <w:noProof/>
                <w:sz w:val="24"/>
                <w:szCs w:val="24"/>
              </w:rPr>
              <w:t>G.</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Border Detentions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_Toc94360186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78</w:t>
            </w:r>
            <w:r w:rsidRPr="007A6720">
              <w:rPr>
                <w:rFonts w:ascii="Arial" w:hAnsi="Arial" w:cs="Arial"/>
                <w:noProof/>
                <w:webHidden/>
                <w:sz w:val="24"/>
                <w:szCs w:val="24"/>
              </w:rPr>
              <w:fldChar w:fldCharType="end"/>
            </w:r>
          </w:hyperlink>
        </w:p>
        <w:p w14:paraId="6C2B9C7B" w14:textId="051A7766"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87" w:history="1">
            <w:r w:rsidRPr="007A6720">
              <w:rPr>
                <w:rStyle w:val="Hyperlink"/>
                <w:rFonts w:ascii="Arial" w:hAnsi="Arial" w:cs="Arial"/>
                <w:noProof/>
                <w:sz w:val="24"/>
                <w:szCs w:val="24"/>
              </w:rPr>
              <w:t>H.</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Standard of Review</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_Toc94360187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79</w:t>
            </w:r>
            <w:r w:rsidRPr="007A6720">
              <w:rPr>
                <w:rFonts w:ascii="Arial" w:hAnsi="Arial" w:cs="Arial"/>
                <w:noProof/>
                <w:webHidden/>
                <w:sz w:val="24"/>
                <w:szCs w:val="24"/>
              </w:rPr>
              <w:fldChar w:fldCharType="end"/>
            </w:r>
          </w:hyperlink>
        </w:p>
        <w:p w14:paraId="601F15F0" w14:textId="6EA141BC" w:rsidR="007A6720" w:rsidRPr="007A6720" w:rsidRDefault="007A6720" w:rsidP="007A6720">
          <w:pPr>
            <w:pStyle w:val="TOC1"/>
            <w:rPr>
              <w:rFonts w:eastAsiaTheme="minorEastAsia"/>
              <w:noProof/>
              <w:lang w:val="en-CA"/>
            </w:rPr>
          </w:pPr>
          <w:hyperlink w:anchor="_Toc94360188" w:history="1">
            <w:r w:rsidRPr="007A6720">
              <w:rPr>
                <w:rStyle w:val="Hyperlink"/>
                <w:rFonts w:ascii="Arial" w:hAnsi="Arial" w:cs="Arial"/>
                <w:noProof/>
                <w:sz w:val="24"/>
                <w:szCs w:val="24"/>
              </w:rPr>
              <w:t>SECTION 10(A)</w:t>
            </w:r>
            <w:r w:rsidRPr="007A6720">
              <w:rPr>
                <w:noProof/>
                <w:webHidden/>
              </w:rPr>
              <w:tab/>
            </w:r>
            <w:r w:rsidRPr="007A6720">
              <w:rPr>
                <w:noProof/>
                <w:webHidden/>
              </w:rPr>
              <w:fldChar w:fldCharType="begin"/>
            </w:r>
            <w:r w:rsidRPr="007A6720">
              <w:rPr>
                <w:noProof/>
                <w:webHidden/>
              </w:rPr>
              <w:instrText xml:space="preserve"> PAGEREF _Toc94360188 \h </w:instrText>
            </w:r>
            <w:r w:rsidRPr="007A6720">
              <w:rPr>
                <w:noProof/>
                <w:webHidden/>
              </w:rPr>
            </w:r>
            <w:r w:rsidRPr="007A6720">
              <w:rPr>
                <w:noProof/>
                <w:webHidden/>
              </w:rPr>
              <w:fldChar w:fldCharType="separate"/>
            </w:r>
            <w:r w:rsidR="00C57050">
              <w:rPr>
                <w:noProof/>
                <w:webHidden/>
              </w:rPr>
              <w:t>79</w:t>
            </w:r>
            <w:r w:rsidRPr="007A6720">
              <w:rPr>
                <w:noProof/>
                <w:webHidden/>
              </w:rPr>
              <w:fldChar w:fldCharType="end"/>
            </w:r>
          </w:hyperlink>
        </w:p>
        <w:p w14:paraId="239990C0" w14:textId="7A47F282" w:rsidR="007A6720" w:rsidRPr="007A6720" w:rsidRDefault="007A6720" w:rsidP="007A6720">
          <w:pPr>
            <w:pStyle w:val="TOC1"/>
            <w:rPr>
              <w:rFonts w:eastAsiaTheme="minorEastAsia"/>
              <w:noProof/>
              <w:lang w:val="en-CA"/>
            </w:rPr>
          </w:pPr>
          <w:hyperlink w:anchor="_Toc94360189" w:history="1">
            <w:r w:rsidRPr="007A6720">
              <w:rPr>
                <w:rStyle w:val="Hyperlink"/>
                <w:rFonts w:ascii="Arial" w:hAnsi="Arial" w:cs="Arial"/>
                <w:noProof/>
                <w:sz w:val="24"/>
                <w:szCs w:val="24"/>
              </w:rPr>
              <w:t>SECTION 10(B)</w:t>
            </w:r>
            <w:r w:rsidRPr="007A6720">
              <w:rPr>
                <w:noProof/>
                <w:webHidden/>
              </w:rPr>
              <w:tab/>
            </w:r>
            <w:r w:rsidRPr="007A6720">
              <w:rPr>
                <w:noProof/>
                <w:webHidden/>
              </w:rPr>
              <w:fldChar w:fldCharType="begin"/>
            </w:r>
            <w:r w:rsidRPr="007A6720">
              <w:rPr>
                <w:noProof/>
                <w:webHidden/>
              </w:rPr>
              <w:instrText xml:space="preserve"> PAGEREF _Toc94360189 \h </w:instrText>
            </w:r>
            <w:r w:rsidRPr="007A6720">
              <w:rPr>
                <w:noProof/>
                <w:webHidden/>
              </w:rPr>
            </w:r>
            <w:r w:rsidRPr="007A6720">
              <w:rPr>
                <w:noProof/>
                <w:webHidden/>
              </w:rPr>
              <w:fldChar w:fldCharType="separate"/>
            </w:r>
            <w:r w:rsidR="00C57050">
              <w:rPr>
                <w:noProof/>
                <w:webHidden/>
              </w:rPr>
              <w:t>81</w:t>
            </w:r>
            <w:r w:rsidRPr="007A6720">
              <w:rPr>
                <w:noProof/>
                <w:webHidden/>
              </w:rPr>
              <w:fldChar w:fldCharType="end"/>
            </w:r>
          </w:hyperlink>
        </w:p>
        <w:p w14:paraId="5552D331" w14:textId="74FCEE05"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90"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General Principles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81</w:t>
            </w:r>
            <w:r w:rsidRPr="007A6720">
              <w:rPr>
                <w:rFonts w:ascii="Arial" w:hAnsi="Arial" w:cs="Arial"/>
                <w:noProof/>
                <w:webHidden/>
                <w:sz w:val="24"/>
                <w:szCs w:val="24"/>
              </w:rPr>
              <w:fldChar w:fldCharType="end"/>
            </w:r>
          </w:hyperlink>
        </w:p>
        <w:p w14:paraId="657CD68A" w14:textId="2088DEC5"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91"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The Informational Component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81</w:t>
            </w:r>
            <w:r w:rsidRPr="007A6720">
              <w:rPr>
                <w:rFonts w:ascii="Arial" w:hAnsi="Arial" w:cs="Arial"/>
                <w:noProof/>
                <w:webHidden/>
                <w:sz w:val="24"/>
                <w:szCs w:val="24"/>
              </w:rPr>
              <w:fldChar w:fldCharType="end"/>
            </w:r>
          </w:hyperlink>
        </w:p>
        <w:p w14:paraId="013F60E0" w14:textId="7C815DC1"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92"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 xml:space="preserve">The </w:t>
            </w:r>
            <w:r w:rsidRPr="007A6720">
              <w:rPr>
                <w:rStyle w:val="Hyperlink"/>
                <w:rFonts w:ascii="Arial" w:hAnsi="Arial" w:cs="Arial"/>
                <w:bCs/>
                <w:noProof/>
                <w:sz w:val="24"/>
                <w:szCs w:val="24"/>
              </w:rPr>
              <w:t>Implementational</w:t>
            </w:r>
            <w:r w:rsidRPr="007A6720">
              <w:rPr>
                <w:rStyle w:val="Hyperlink"/>
                <w:rFonts w:ascii="Arial" w:hAnsi="Arial" w:cs="Arial"/>
                <w:noProof/>
                <w:sz w:val="24"/>
                <w:szCs w:val="24"/>
              </w:rPr>
              <w:t xml:space="preserve"> Component and the Duty to Hold Off</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82</w:t>
            </w:r>
            <w:r w:rsidRPr="007A6720">
              <w:rPr>
                <w:rFonts w:ascii="Arial" w:hAnsi="Arial" w:cs="Arial"/>
                <w:noProof/>
                <w:webHidden/>
                <w:sz w:val="24"/>
                <w:szCs w:val="24"/>
              </w:rPr>
              <w:fldChar w:fldCharType="end"/>
            </w:r>
          </w:hyperlink>
        </w:p>
        <w:p w14:paraId="777424B3" w14:textId="5518BE51"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93" w:history="1">
            <w:r w:rsidRPr="007A6720">
              <w:rPr>
                <w:rStyle w:val="Hyperlink"/>
                <w:rFonts w:ascii="Arial" w:hAnsi="Arial" w:cs="Arial"/>
                <w:noProof/>
                <w:sz w:val="24"/>
                <w:szCs w:val="24"/>
              </w:rPr>
              <w:t>iii.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The Right to Reconsult Counsel</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85</w:t>
            </w:r>
            <w:r w:rsidRPr="007A6720">
              <w:rPr>
                <w:rFonts w:ascii="Arial" w:hAnsi="Arial" w:cs="Arial"/>
                <w:noProof/>
                <w:webHidden/>
                <w:sz w:val="24"/>
                <w:szCs w:val="24"/>
              </w:rPr>
              <w:fldChar w:fldCharType="end"/>
            </w:r>
          </w:hyperlink>
        </w:p>
        <w:p w14:paraId="3DB0D121" w14:textId="01B39F20"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94" w:history="1">
            <w:r w:rsidRPr="007A6720">
              <w:rPr>
                <w:rStyle w:val="Hyperlink"/>
                <w:rFonts w:ascii="Arial" w:hAnsi="Arial" w:cs="Arial"/>
                <w:noProof/>
                <w:sz w:val="24"/>
                <w:szCs w:val="24"/>
              </w:rPr>
              <w:t>iv.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Spontaneous Statements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86</w:t>
            </w:r>
            <w:r w:rsidRPr="007A6720">
              <w:rPr>
                <w:rFonts w:ascii="Arial" w:hAnsi="Arial" w:cs="Arial"/>
                <w:noProof/>
                <w:webHidden/>
                <w:sz w:val="24"/>
                <w:szCs w:val="24"/>
              </w:rPr>
              <w:fldChar w:fldCharType="end"/>
            </w:r>
          </w:hyperlink>
        </w:p>
        <w:p w14:paraId="4353A5CC" w14:textId="1DBC0518"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95"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Counsel of Choice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86</w:t>
            </w:r>
            <w:r w:rsidRPr="007A6720">
              <w:rPr>
                <w:rFonts w:ascii="Arial" w:hAnsi="Arial" w:cs="Arial"/>
                <w:noProof/>
                <w:webHidden/>
                <w:sz w:val="24"/>
                <w:szCs w:val="24"/>
              </w:rPr>
              <w:fldChar w:fldCharType="end"/>
            </w:r>
          </w:hyperlink>
        </w:p>
        <w:p w14:paraId="7B0C4F88" w14:textId="42087143"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196" w:history="1">
            <w:r w:rsidRPr="007A6720">
              <w:rPr>
                <w:rStyle w:val="Hyperlink"/>
                <w:rFonts w:ascii="Arial" w:hAnsi="Arial" w:cs="Arial"/>
                <w:noProof/>
                <w:sz w:val="24"/>
                <w:szCs w:val="24"/>
              </w:rPr>
              <w:t>vi.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Counsel at Trial</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86</w:t>
            </w:r>
            <w:r w:rsidRPr="007A6720">
              <w:rPr>
                <w:rFonts w:ascii="Arial" w:hAnsi="Arial" w:cs="Arial"/>
                <w:noProof/>
                <w:webHidden/>
                <w:sz w:val="24"/>
                <w:szCs w:val="24"/>
              </w:rPr>
              <w:fldChar w:fldCharType="end"/>
            </w:r>
          </w:hyperlink>
        </w:p>
        <w:p w14:paraId="22541F1A" w14:textId="3BF6BBA0" w:rsidR="007A6720" w:rsidRPr="007A6720" w:rsidRDefault="007A6720" w:rsidP="007A6720">
          <w:pPr>
            <w:pStyle w:val="TOC3"/>
            <w:tabs>
              <w:tab w:val="left" w:pos="1200"/>
              <w:tab w:val="right" w:leader="dot" w:pos="8630"/>
            </w:tabs>
            <w:spacing w:line="480" w:lineRule="auto"/>
            <w:rPr>
              <w:rFonts w:ascii="Arial" w:eastAsiaTheme="minorEastAsia" w:hAnsi="Arial" w:cs="Arial"/>
              <w:noProof/>
              <w:sz w:val="24"/>
              <w:szCs w:val="24"/>
              <w:lang w:val="en-CA"/>
            </w:rPr>
          </w:pPr>
          <w:hyperlink w:anchor="_Toc94360197" w:history="1">
            <w:r w:rsidRPr="007A6720">
              <w:rPr>
                <w:rStyle w:val="Hyperlink"/>
                <w:rFonts w:ascii="Arial" w:hAnsi="Arial" w:cs="Arial"/>
                <w:noProof/>
                <w:sz w:val="24"/>
                <w:szCs w:val="24"/>
              </w:rPr>
              <w:t>vii.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Roadside Sobriety Tests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86</w:t>
            </w:r>
            <w:r w:rsidRPr="007A6720">
              <w:rPr>
                <w:rFonts w:ascii="Arial" w:hAnsi="Arial" w:cs="Arial"/>
                <w:noProof/>
                <w:webHidden/>
                <w:sz w:val="24"/>
                <w:szCs w:val="24"/>
              </w:rPr>
              <w:fldChar w:fldCharType="end"/>
            </w:r>
          </w:hyperlink>
        </w:p>
        <w:p w14:paraId="1039E451" w14:textId="2E0BADAA"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98"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A Tainted Second Statement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87</w:t>
            </w:r>
            <w:r w:rsidRPr="007A6720">
              <w:rPr>
                <w:rFonts w:ascii="Arial" w:hAnsi="Arial" w:cs="Arial"/>
                <w:noProof/>
                <w:webHidden/>
                <w:sz w:val="24"/>
                <w:szCs w:val="24"/>
              </w:rPr>
              <w:fldChar w:fldCharType="end"/>
            </w:r>
          </w:hyperlink>
        </w:p>
        <w:p w14:paraId="17F8AFED" w14:textId="01FDB2FB"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199" w:history="1">
            <w:r w:rsidRPr="007A6720">
              <w:rPr>
                <w:rStyle w:val="Hyperlink"/>
                <w:rFonts w:ascii="Arial" w:hAnsi="Arial" w:cs="Arial"/>
                <w:noProof/>
                <w:sz w:val="24"/>
                <w:szCs w:val="24"/>
              </w:rPr>
              <w:t>C.</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Prosper Warning</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_Toc94360199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88</w:t>
            </w:r>
            <w:r w:rsidRPr="007A6720">
              <w:rPr>
                <w:rFonts w:ascii="Arial" w:hAnsi="Arial" w:cs="Arial"/>
                <w:noProof/>
                <w:webHidden/>
                <w:sz w:val="24"/>
                <w:szCs w:val="24"/>
              </w:rPr>
              <w:fldChar w:fldCharType="end"/>
            </w:r>
          </w:hyperlink>
        </w:p>
        <w:p w14:paraId="3A81C8ED" w14:textId="1F8EAF92"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00" w:history="1">
            <w:r w:rsidRPr="007A6720">
              <w:rPr>
                <w:rStyle w:val="Hyperlink"/>
                <w:rFonts w:ascii="Arial" w:hAnsi="Arial" w:cs="Arial"/>
                <w:noProof/>
                <w:sz w:val="24"/>
                <w:szCs w:val="24"/>
              </w:rPr>
              <w:t>D.</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Exclusion of Evidence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_Toc94360200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89</w:t>
            </w:r>
            <w:r w:rsidRPr="007A6720">
              <w:rPr>
                <w:rFonts w:ascii="Arial" w:hAnsi="Arial" w:cs="Arial"/>
                <w:noProof/>
                <w:webHidden/>
                <w:sz w:val="24"/>
                <w:szCs w:val="24"/>
              </w:rPr>
              <w:fldChar w:fldCharType="end"/>
            </w:r>
          </w:hyperlink>
        </w:p>
        <w:p w14:paraId="2005FDEC" w14:textId="49F3ACD4" w:rsidR="007A6720" w:rsidRPr="007A6720" w:rsidRDefault="007A6720" w:rsidP="007A6720">
          <w:pPr>
            <w:pStyle w:val="TOC1"/>
            <w:rPr>
              <w:rFonts w:eastAsiaTheme="minorEastAsia"/>
              <w:noProof/>
              <w:lang w:val="en-CA"/>
            </w:rPr>
          </w:pPr>
          <w:hyperlink w:anchor="_Toc94360201" w:history="1">
            <w:r w:rsidRPr="007A6720">
              <w:rPr>
                <w:rStyle w:val="Hyperlink"/>
                <w:rFonts w:ascii="Arial" w:hAnsi="Arial" w:cs="Arial"/>
                <w:noProof/>
                <w:sz w:val="24"/>
                <w:szCs w:val="24"/>
              </w:rPr>
              <w:t>SECTION 11(B)</w:t>
            </w:r>
            <w:r w:rsidRPr="007A6720">
              <w:rPr>
                <w:noProof/>
                <w:webHidden/>
              </w:rPr>
              <w:tab/>
            </w:r>
            <w:r w:rsidRPr="007A6720">
              <w:rPr>
                <w:noProof/>
                <w:webHidden/>
              </w:rPr>
              <w:fldChar w:fldCharType="begin"/>
            </w:r>
            <w:r w:rsidRPr="007A6720">
              <w:rPr>
                <w:noProof/>
                <w:webHidden/>
              </w:rPr>
              <w:instrText xml:space="preserve"> PAGEREF _Toc94360201 \h </w:instrText>
            </w:r>
            <w:r w:rsidRPr="007A6720">
              <w:rPr>
                <w:noProof/>
                <w:webHidden/>
              </w:rPr>
            </w:r>
            <w:r w:rsidRPr="007A6720">
              <w:rPr>
                <w:noProof/>
                <w:webHidden/>
              </w:rPr>
              <w:fldChar w:fldCharType="separate"/>
            </w:r>
            <w:r w:rsidR="00C57050">
              <w:rPr>
                <w:noProof/>
                <w:webHidden/>
              </w:rPr>
              <w:t>90</w:t>
            </w:r>
            <w:r w:rsidRPr="007A6720">
              <w:rPr>
                <w:noProof/>
                <w:webHidden/>
              </w:rPr>
              <w:fldChar w:fldCharType="end"/>
            </w:r>
          </w:hyperlink>
        </w:p>
        <w:p w14:paraId="20EB07B3" w14:textId="656CC67C"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02"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The Test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_Toc94360202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90</w:t>
            </w:r>
            <w:r w:rsidRPr="007A6720">
              <w:rPr>
                <w:rFonts w:ascii="Arial" w:hAnsi="Arial" w:cs="Arial"/>
                <w:noProof/>
                <w:webHidden/>
                <w:sz w:val="24"/>
                <w:szCs w:val="24"/>
              </w:rPr>
              <w:fldChar w:fldCharType="end"/>
            </w:r>
          </w:hyperlink>
        </w:p>
        <w:p w14:paraId="73932402" w14:textId="4EC790FE"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03"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Defence Delay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_Toc94360203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92</w:t>
            </w:r>
            <w:r w:rsidRPr="007A6720">
              <w:rPr>
                <w:rFonts w:ascii="Arial" w:hAnsi="Arial" w:cs="Arial"/>
                <w:noProof/>
                <w:webHidden/>
                <w:sz w:val="24"/>
                <w:szCs w:val="24"/>
              </w:rPr>
              <w:fldChar w:fldCharType="end"/>
            </w:r>
          </w:hyperlink>
        </w:p>
        <w:p w14:paraId="6ED95397" w14:textId="2C437116"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04" w:history="1">
            <w:r w:rsidRPr="007A6720">
              <w:rPr>
                <w:rStyle w:val="Hyperlink"/>
                <w:rFonts w:ascii="Arial" w:hAnsi="Arial" w:cs="Arial"/>
                <w:noProof/>
                <w:sz w:val="24"/>
                <w:szCs w:val="24"/>
              </w:rPr>
              <w:t>C.</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​Exceptional Circumstances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_Toc94360204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93</w:t>
            </w:r>
            <w:r w:rsidRPr="007A6720">
              <w:rPr>
                <w:rFonts w:ascii="Arial" w:hAnsi="Arial" w:cs="Arial"/>
                <w:noProof/>
                <w:webHidden/>
                <w:sz w:val="24"/>
                <w:szCs w:val="24"/>
              </w:rPr>
              <w:fldChar w:fldCharType="end"/>
            </w:r>
          </w:hyperlink>
        </w:p>
        <w:p w14:paraId="2268B33B" w14:textId="2E78F79B"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05" w:history="1">
            <w:r w:rsidRPr="007A6720">
              <w:rPr>
                <w:rStyle w:val="Hyperlink"/>
                <w:rFonts w:ascii="Arial" w:hAnsi="Arial" w:cs="Arial"/>
                <w:noProof/>
                <w:sz w:val="24"/>
                <w:szCs w:val="24"/>
              </w:rPr>
              <w:t>D.</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Complexity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_Toc94360205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94</w:t>
            </w:r>
            <w:r w:rsidRPr="007A6720">
              <w:rPr>
                <w:rFonts w:ascii="Arial" w:hAnsi="Arial" w:cs="Arial"/>
                <w:noProof/>
                <w:webHidden/>
                <w:sz w:val="24"/>
                <w:szCs w:val="24"/>
              </w:rPr>
              <w:fldChar w:fldCharType="end"/>
            </w:r>
          </w:hyperlink>
        </w:p>
        <w:p w14:paraId="25B09D27" w14:textId="64F987CE"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06" w:history="1">
            <w:r w:rsidRPr="007A6720">
              <w:rPr>
                <w:rStyle w:val="Hyperlink"/>
                <w:rFonts w:ascii="Arial" w:hAnsi="Arial" w:cs="Arial"/>
                <w:noProof/>
                <w:sz w:val="24"/>
                <w:szCs w:val="24"/>
              </w:rPr>
              <w:t>E.</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Transitional Cases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_Toc94360206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95</w:t>
            </w:r>
            <w:r w:rsidRPr="007A6720">
              <w:rPr>
                <w:rFonts w:ascii="Arial" w:hAnsi="Arial" w:cs="Arial"/>
                <w:noProof/>
                <w:webHidden/>
                <w:sz w:val="24"/>
                <w:szCs w:val="24"/>
              </w:rPr>
              <w:fldChar w:fldCharType="end"/>
            </w:r>
          </w:hyperlink>
        </w:p>
        <w:p w14:paraId="038995EC" w14:textId="3321FC2C"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07" w:history="1">
            <w:r w:rsidRPr="007A6720">
              <w:rPr>
                <w:rStyle w:val="Hyperlink"/>
                <w:rFonts w:ascii="Arial" w:hAnsi="Arial" w:cs="Arial"/>
                <w:noProof/>
                <w:sz w:val="24"/>
                <w:szCs w:val="24"/>
              </w:rPr>
              <w:t>F.</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Reasonable Steps to Minimize Delay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_Toc94360207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96</w:t>
            </w:r>
            <w:r w:rsidRPr="007A6720">
              <w:rPr>
                <w:rFonts w:ascii="Arial" w:hAnsi="Arial" w:cs="Arial"/>
                <w:noProof/>
                <w:webHidden/>
                <w:sz w:val="24"/>
                <w:szCs w:val="24"/>
              </w:rPr>
              <w:fldChar w:fldCharType="end"/>
            </w:r>
          </w:hyperlink>
        </w:p>
        <w:p w14:paraId="50492D6A" w14:textId="145B9DB9"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08" w:history="1">
            <w:r w:rsidRPr="007A6720">
              <w:rPr>
                <w:rStyle w:val="Hyperlink"/>
                <w:rFonts w:ascii="Arial" w:hAnsi="Arial" w:cs="Arial"/>
                <w:noProof/>
                <w:sz w:val="24"/>
                <w:szCs w:val="24"/>
              </w:rPr>
              <w:t>G.</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Post Evidence Delay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_Toc94360208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97</w:t>
            </w:r>
            <w:r w:rsidRPr="007A6720">
              <w:rPr>
                <w:rFonts w:ascii="Arial" w:hAnsi="Arial" w:cs="Arial"/>
                <w:noProof/>
                <w:webHidden/>
                <w:sz w:val="24"/>
                <w:szCs w:val="24"/>
              </w:rPr>
              <w:fldChar w:fldCharType="end"/>
            </w:r>
          </w:hyperlink>
        </w:p>
        <w:p w14:paraId="22601B91" w14:textId="3E6461D4"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09" w:history="1">
            <w:r w:rsidRPr="007A6720">
              <w:rPr>
                <w:rStyle w:val="Hyperlink"/>
                <w:rFonts w:ascii="Arial" w:hAnsi="Arial" w:cs="Arial"/>
                <w:noProof/>
                <w:sz w:val="24"/>
                <w:szCs w:val="24"/>
              </w:rPr>
              <w:t>H.</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Post Verdict Delay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_Toc94360209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97</w:t>
            </w:r>
            <w:r w:rsidRPr="007A6720">
              <w:rPr>
                <w:rFonts w:ascii="Arial" w:hAnsi="Arial" w:cs="Arial"/>
                <w:noProof/>
                <w:webHidden/>
                <w:sz w:val="24"/>
                <w:szCs w:val="24"/>
              </w:rPr>
              <w:fldChar w:fldCharType="end"/>
            </w:r>
          </w:hyperlink>
        </w:p>
        <w:p w14:paraId="5C0E5E45" w14:textId="0FDA0287"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10" w:history="1">
            <w:r w:rsidRPr="007A6720">
              <w:rPr>
                <w:rStyle w:val="Hyperlink"/>
                <w:rFonts w:ascii="Arial" w:hAnsi="Arial" w:cs="Arial"/>
                <w:noProof/>
                <w:sz w:val="24"/>
                <w:szCs w:val="24"/>
              </w:rPr>
              <w:t>I.</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Retrials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_Toc94360210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100</w:t>
            </w:r>
            <w:r w:rsidRPr="007A6720">
              <w:rPr>
                <w:rFonts w:ascii="Arial" w:hAnsi="Arial" w:cs="Arial"/>
                <w:noProof/>
                <w:webHidden/>
                <w:sz w:val="24"/>
                <w:szCs w:val="24"/>
              </w:rPr>
              <w:fldChar w:fldCharType="end"/>
            </w:r>
          </w:hyperlink>
        </w:p>
        <w:p w14:paraId="2E4359AE" w14:textId="40132554"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11" w:history="1">
            <w:r w:rsidRPr="007A6720">
              <w:rPr>
                <w:rStyle w:val="Hyperlink"/>
                <w:rFonts w:ascii="Arial" w:hAnsi="Arial" w:cs="Arial"/>
                <w:noProof/>
                <w:sz w:val="24"/>
                <w:szCs w:val="24"/>
              </w:rPr>
              <w:t>J.</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Reelections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_Toc94360211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100</w:t>
            </w:r>
            <w:r w:rsidRPr="007A6720">
              <w:rPr>
                <w:rFonts w:ascii="Arial" w:hAnsi="Arial" w:cs="Arial"/>
                <w:noProof/>
                <w:webHidden/>
                <w:sz w:val="24"/>
                <w:szCs w:val="24"/>
              </w:rPr>
              <w:fldChar w:fldCharType="end"/>
            </w:r>
          </w:hyperlink>
        </w:p>
        <w:p w14:paraId="68D42F2A" w14:textId="4776648A"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12" w:history="1">
            <w:r w:rsidRPr="007A6720">
              <w:rPr>
                <w:rStyle w:val="Hyperlink"/>
                <w:rFonts w:ascii="Arial" w:hAnsi="Arial" w:cs="Arial"/>
                <w:noProof/>
                <w:sz w:val="24"/>
                <w:szCs w:val="24"/>
              </w:rPr>
              <w:t>K.</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Extraordinary Remedies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_Toc94360212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100</w:t>
            </w:r>
            <w:r w:rsidRPr="007A6720">
              <w:rPr>
                <w:rFonts w:ascii="Arial" w:hAnsi="Arial" w:cs="Arial"/>
                <w:noProof/>
                <w:webHidden/>
                <w:sz w:val="24"/>
                <w:szCs w:val="24"/>
              </w:rPr>
              <w:fldChar w:fldCharType="end"/>
            </w:r>
          </w:hyperlink>
        </w:p>
        <w:p w14:paraId="2F225EFC" w14:textId="1060AF10"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13" w:history="1">
            <w:r w:rsidRPr="007A6720">
              <w:rPr>
                <w:rStyle w:val="Hyperlink"/>
                <w:rFonts w:ascii="Arial" w:hAnsi="Arial" w:cs="Arial"/>
                <w:noProof/>
                <w:sz w:val="24"/>
                <w:szCs w:val="24"/>
              </w:rPr>
              <w:t>L.</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Youth Court Justice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_Toc94360213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101</w:t>
            </w:r>
            <w:r w:rsidRPr="007A6720">
              <w:rPr>
                <w:rFonts w:ascii="Arial" w:hAnsi="Arial" w:cs="Arial"/>
                <w:noProof/>
                <w:webHidden/>
                <w:sz w:val="24"/>
                <w:szCs w:val="24"/>
              </w:rPr>
              <w:fldChar w:fldCharType="end"/>
            </w:r>
          </w:hyperlink>
        </w:p>
        <w:p w14:paraId="54A2C5A2" w14:textId="7CF312B4" w:rsidR="007A6720" w:rsidRPr="007A6720" w:rsidRDefault="007A6720" w:rsidP="007A6720">
          <w:pPr>
            <w:pStyle w:val="TOC2"/>
            <w:tabs>
              <w:tab w:val="left" w:pos="960"/>
              <w:tab w:val="right" w:leader="dot" w:pos="8630"/>
            </w:tabs>
            <w:spacing w:line="480" w:lineRule="auto"/>
            <w:rPr>
              <w:rFonts w:ascii="Arial" w:eastAsiaTheme="minorEastAsia" w:hAnsi="Arial" w:cs="Arial"/>
              <w:b w:val="0"/>
              <w:noProof/>
              <w:sz w:val="24"/>
              <w:szCs w:val="24"/>
              <w:lang w:val="en-CA"/>
            </w:rPr>
          </w:pPr>
          <w:hyperlink w:anchor="_Toc94360214" w:history="1">
            <w:r w:rsidRPr="007A6720">
              <w:rPr>
                <w:rStyle w:val="Hyperlink"/>
                <w:rFonts w:ascii="Arial" w:hAnsi="Arial" w:cs="Arial"/>
                <w:noProof/>
                <w:sz w:val="24"/>
                <w:szCs w:val="24"/>
              </w:rPr>
              <w:t>M.</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Provincial Offences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_Toc94360214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102</w:t>
            </w:r>
            <w:r w:rsidRPr="007A6720">
              <w:rPr>
                <w:rFonts w:ascii="Arial" w:hAnsi="Arial" w:cs="Arial"/>
                <w:noProof/>
                <w:webHidden/>
                <w:sz w:val="24"/>
                <w:szCs w:val="24"/>
              </w:rPr>
              <w:fldChar w:fldCharType="end"/>
            </w:r>
          </w:hyperlink>
        </w:p>
        <w:p w14:paraId="0384BAC3" w14:textId="65B3A51A"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15" w:history="1">
            <w:r w:rsidRPr="007A6720">
              <w:rPr>
                <w:rStyle w:val="Hyperlink"/>
                <w:rFonts w:ascii="Arial" w:hAnsi="Arial" w:cs="Arial"/>
                <w:noProof/>
                <w:sz w:val="24"/>
                <w:szCs w:val="24"/>
              </w:rPr>
              <w:t>N.</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Standard of review</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_Toc94360215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102</w:t>
            </w:r>
            <w:r w:rsidRPr="007A6720">
              <w:rPr>
                <w:rFonts w:ascii="Arial" w:hAnsi="Arial" w:cs="Arial"/>
                <w:noProof/>
                <w:webHidden/>
                <w:sz w:val="24"/>
                <w:szCs w:val="24"/>
              </w:rPr>
              <w:fldChar w:fldCharType="end"/>
            </w:r>
          </w:hyperlink>
        </w:p>
        <w:p w14:paraId="15FD7554" w14:textId="033C487F"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16" w:history="1">
            <w:r w:rsidRPr="007A6720">
              <w:rPr>
                <w:rStyle w:val="Hyperlink"/>
                <w:rFonts w:ascii="Arial" w:hAnsi="Arial" w:cs="Arial"/>
                <w:noProof/>
                <w:sz w:val="24"/>
                <w:szCs w:val="24"/>
              </w:rPr>
              <w:t>O.</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Examples of Recent 11(b) Cases: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_Toc94360216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102</w:t>
            </w:r>
            <w:r w:rsidRPr="007A6720">
              <w:rPr>
                <w:rFonts w:ascii="Arial" w:hAnsi="Arial" w:cs="Arial"/>
                <w:noProof/>
                <w:webHidden/>
                <w:sz w:val="24"/>
                <w:szCs w:val="24"/>
              </w:rPr>
              <w:fldChar w:fldCharType="end"/>
            </w:r>
          </w:hyperlink>
        </w:p>
        <w:p w14:paraId="378ACA9E" w14:textId="6E85343C" w:rsidR="007A6720" w:rsidRPr="007A6720" w:rsidRDefault="007A6720" w:rsidP="007A6720">
          <w:pPr>
            <w:pStyle w:val="TOC1"/>
            <w:rPr>
              <w:rFonts w:eastAsiaTheme="minorEastAsia"/>
              <w:noProof/>
              <w:lang w:val="en-CA"/>
            </w:rPr>
          </w:pPr>
          <w:hyperlink w:anchor="_Toc94360217" w:history="1">
            <w:r w:rsidRPr="007A6720">
              <w:rPr>
                <w:rStyle w:val="Hyperlink"/>
                <w:rFonts w:ascii="Arial" w:hAnsi="Arial" w:cs="Arial"/>
                <w:noProof/>
                <w:sz w:val="24"/>
                <w:szCs w:val="24"/>
              </w:rPr>
              <w:t>SECTION 11(D)</w:t>
            </w:r>
            <w:r w:rsidRPr="007A6720">
              <w:rPr>
                <w:noProof/>
                <w:webHidden/>
              </w:rPr>
              <w:tab/>
            </w:r>
            <w:r w:rsidRPr="007A6720">
              <w:rPr>
                <w:noProof/>
                <w:webHidden/>
              </w:rPr>
              <w:fldChar w:fldCharType="begin"/>
            </w:r>
            <w:r w:rsidRPr="007A6720">
              <w:rPr>
                <w:noProof/>
                <w:webHidden/>
              </w:rPr>
              <w:instrText xml:space="preserve"> PAGEREF _Toc94360217 \h </w:instrText>
            </w:r>
            <w:r w:rsidRPr="007A6720">
              <w:rPr>
                <w:noProof/>
                <w:webHidden/>
              </w:rPr>
            </w:r>
            <w:r w:rsidRPr="007A6720">
              <w:rPr>
                <w:noProof/>
                <w:webHidden/>
              </w:rPr>
              <w:fldChar w:fldCharType="separate"/>
            </w:r>
            <w:r w:rsidR="00C57050">
              <w:rPr>
                <w:noProof/>
                <w:webHidden/>
              </w:rPr>
              <w:t>103</w:t>
            </w:r>
            <w:r w:rsidRPr="007A6720">
              <w:rPr>
                <w:noProof/>
                <w:webHidden/>
              </w:rPr>
              <w:fldChar w:fldCharType="end"/>
            </w:r>
          </w:hyperlink>
        </w:p>
        <w:p w14:paraId="628BE497" w14:textId="1BF7D6F2" w:rsidR="007A6720" w:rsidRPr="007A6720" w:rsidRDefault="007A6720" w:rsidP="007A6720">
          <w:pPr>
            <w:pStyle w:val="TOC1"/>
            <w:rPr>
              <w:rFonts w:eastAsiaTheme="minorEastAsia"/>
              <w:noProof/>
              <w:lang w:val="en-CA"/>
            </w:rPr>
          </w:pPr>
          <w:hyperlink w:anchor="_Toc94360218" w:history="1">
            <w:r w:rsidRPr="007A6720">
              <w:rPr>
                <w:rStyle w:val="Hyperlink"/>
                <w:rFonts w:ascii="Arial" w:hAnsi="Arial" w:cs="Arial"/>
                <w:noProof/>
                <w:sz w:val="24"/>
                <w:szCs w:val="24"/>
              </w:rPr>
              <w:t>SECTION 11(E)</w:t>
            </w:r>
            <w:r w:rsidRPr="007A6720">
              <w:rPr>
                <w:noProof/>
                <w:webHidden/>
              </w:rPr>
              <w:tab/>
            </w:r>
            <w:r w:rsidRPr="007A6720">
              <w:rPr>
                <w:noProof/>
                <w:webHidden/>
              </w:rPr>
              <w:fldChar w:fldCharType="begin"/>
            </w:r>
            <w:r w:rsidRPr="007A6720">
              <w:rPr>
                <w:noProof/>
                <w:webHidden/>
              </w:rPr>
              <w:instrText xml:space="preserve"> PAGEREF _Toc94360218 \h </w:instrText>
            </w:r>
            <w:r w:rsidRPr="007A6720">
              <w:rPr>
                <w:noProof/>
                <w:webHidden/>
              </w:rPr>
            </w:r>
            <w:r w:rsidRPr="007A6720">
              <w:rPr>
                <w:noProof/>
                <w:webHidden/>
              </w:rPr>
              <w:fldChar w:fldCharType="separate"/>
            </w:r>
            <w:r w:rsidR="00C57050">
              <w:rPr>
                <w:noProof/>
                <w:webHidden/>
              </w:rPr>
              <w:t>104</w:t>
            </w:r>
            <w:r w:rsidRPr="007A6720">
              <w:rPr>
                <w:noProof/>
                <w:webHidden/>
              </w:rPr>
              <w:fldChar w:fldCharType="end"/>
            </w:r>
          </w:hyperlink>
        </w:p>
        <w:p w14:paraId="2BCD62DA" w14:textId="596C6BC4"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19"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Three Clear Days’ Adjournment: s. 516(1)</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_Toc94360219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104</w:t>
            </w:r>
            <w:r w:rsidRPr="007A6720">
              <w:rPr>
                <w:rFonts w:ascii="Arial" w:hAnsi="Arial" w:cs="Arial"/>
                <w:noProof/>
                <w:webHidden/>
                <w:sz w:val="24"/>
                <w:szCs w:val="24"/>
              </w:rPr>
              <w:fldChar w:fldCharType="end"/>
            </w:r>
          </w:hyperlink>
        </w:p>
        <w:p w14:paraId="0156118D" w14:textId="55B7BB9F"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20"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Remedy for Violation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_Toc94360220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104</w:t>
            </w:r>
            <w:r w:rsidRPr="007A6720">
              <w:rPr>
                <w:rFonts w:ascii="Arial" w:hAnsi="Arial" w:cs="Arial"/>
                <w:noProof/>
                <w:webHidden/>
                <w:sz w:val="24"/>
                <w:szCs w:val="24"/>
              </w:rPr>
              <w:fldChar w:fldCharType="end"/>
            </w:r>
          </w:hyperlink>
        </w:p>
        <w:p w14:paraId="5DEC0538" w14:textId="6266DB3E" w:rsidR="007A6720" w:rsidRPr="007A6720" w:rsidRDefault="007A6720" w:rsidP="007A6720">
          <w:pPr>
            <w:pStyle w:val="TOC1"/>
            <w:rPr>
              <w:rFonts w:eastAsiaTheme="minorEastAsia"/>
              <w:noProof/>
              <w:lang w:val="en-CA"/>
            </w:rPr>
          </w:pPr>
          <w:hyperlink w:anchor="_Toc94360221" w:history="1">
            <w:r w:rsidRPr="007A6720">
              <w:rPr>
                <w:rStyle w:val="Hyperlink"/>
                <w:rFonts w:ascii="Arial" w:hAnsi="Arial" w:cs="Arial"/>
                <w:noProof/>
                <w:sz w:val="24"/>
                <w:szCs w:val="24"/>
              </w:rPr>
              <w:t>SECTION 11(F)</w:t>
            </w:r>
            <w:r w:rsidRPr="007A6720">
              <w:rPr>
                <w:noProof/>
                <w:webHidden/>
              </w:rPr>
              <w:tab/>
            </w:r>
            <w:r w:rsidRPr="007A6720">
              <w:rPr>
                <w:noProof/>
                <w:webHidden/>
              </w:rPr>
              <w:fldChar w:fldCharType="begin"/>
            </w:r>
            <w:r w:rsidRPr="007A6720">
              <w:rPr>
                <w:noProof/>
                <w:webHidden/>
              </w:rPr>
              <w:instrText xml:space="preserve"> PAGEREF _Toc94360221 \h </w:instrText>
            </w:r>
            <w:r w:rsidRPr="007A6720">
              <w:rPr>
                <w:noProof/>
                <w:webHidden/>
              </w:rPr>
            </w:r>
            <w:r w:rsidRPr="007A6720">
              <w:rPr>
                <w:noProof/>
                <w:webHidden/>
              </w:rPr>
              <w:fldChar w:fldCharType="separate"/>
            </w:r>
            <w:r w:rsidR="00C57050">
              <w:rPr>
                <w:noProof/>
                <w:webHidden/>
              </w:rPr>
              <w:t>105</w:t>
            </w:r>
            <w:r w:rsidRPr="007A6720">
              <w:rPr>
                <w:noProof/>
                <w:webHidden/>
              </w:rPr>
              <w:fldChar w:fldCharType="end"/>
            </w:r>
          </w:hyperlink>
        </w:p>
        <w:p w14:paraId="42911B9F" w14:textId="5541CDB0" w:rsidR="007A6720" w:rsidRPr="007A6720" w:rsidRDefault="007A6720" w:rsidP="007A6720">
          <w:pPr>
            <w:pStyle w:val="TOC1"/>
            <w:rPr>
              <w:rFonts w:eastAsiaTheme="minorEastAsia"/>
              <w:noProof/>
              <w:lang w:val="en-CA"/>
            </w:rPr>
          </w:pPr>
          <w:hyperlink w:anchor="_Toc94360222" w:history="1">
            <w:r w:rsidRPr="007A6720">
              <w:rPr>
                <w:rStyle w:val="Hyperlink"/>
                <w:rFonts w:ascii="Arial" w:hAnsi="Arial" w:cs="Arial"/>
                <w:noProof/>
                <w:sz w:val="24"/>
                <w:szCs w:val="24"/>
              </w:rPr>
              <w:t>SECTION 11(H)</w:t>
            </w:r>
            <w:r w:rsidRPr="007A6720">
              <w:rPr>
                <w:noProof/>
                <w:webHidden/>
              </w:rPr>
              <w:tab/>
            </w:r>
            <w:r w:rsidRPr="007A6720">
              <w:rPr>
                <w:noProof/>
                <w:webHidden/>
              </w:rPr>
              <w:fldChar w:fldCharType="begin"/>
            </w:r>
            <w:r w:rsidRPr="007A6720">
              <w:rPr>
                <w:noProof/>
                <w:webHidden/>
              </w:rPr>
              <w:instrText xml:space="preserve"> PAGEREF _Toc94360222 \h </w:instrText>
            </w:r>
            <w:r w:rsidRPr="007A6720">
              <w:rPr>
                <w:noProof/>
                <w:webHidden/>
              </w:rPr>
            </w:r>
            <w:r w:rsidRPr="007A6720">
              <w:rPr>
                <w:noProof/>
                <w:webHidden/>
              </w:rPr>
              <w:fldChar w:fldCharType="separate"/>
            </w:r>
            <w:r w:rsidR="00C57050">
              <w:rPr>
                <w:noProof/>
                <w:webHidden/>
              </w:rPr>
              <w:t>106</w:t>
            </w:r>
            <w:r w:rsidRPr="007A6720">
              <w:rPr>
                <w:noProof/>
                <w:webHidden/>
              </w:rPr>
              <w:fldChar w:fldCharType="end"/>
            </w:r>
          </w:hyperlink>
        </w:p>
        <w:p w14:paraId="53DD85BE" w14:textId="41763E64"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23"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Definition of Punishment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_Toc94360223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106</w:t>
            </w:r>
            <w:r w:rsidRPr="007A6720">
              <w:rPr>
                <w:rFonts w:ascii="Arial" w:hAnsi="Arial" w:cs="Arial"/>
                <w:noProof/>
                <w:webHidden/>
                <w:sz w:val="24"/>
                <w:szCs w:val="24"/>
              </w:rPr>
              <w:fldChar w:fldCharType="end"/>
            </w:r>
          </w:hyperlink>
        </w:p>
        <w:p w14:paraId="7460A1D6" w14:textId="077167BD" w:rsidR="007A6720" w:rsidRPr="007A6720" w:rsidRDefault="007A6720" w:rsidP="007A6720">
          <w:pPr>
            <w:pStyle w:val="TOC1"/>
            <w:rPr>
              <w:rFonts w:eastAsiaTheme="minorEastAsia"/>
              <w:noProof/>
              <w:lang w:val="en-CA"/>
            </w:rPr>
          </w:pPr>
          <w:hyperlink w:anchor="_Toc94360224" w:history="1">
            <w:r w:rsidRPr="007A6720">
              <w:rPr>
                <w:rStyle w:val="Hyperlink"/>
                <w:rFonts w:ascii="Arial" w:hAnsi="Arial" w:cs="Arial"/>
                <w:noProof/>
                <w:sz w:val="24"/>
                <w:szCs w:val="24"/>
              </w:rPr>
              <w:t>SECTION 11(I)</w:t>
            </w:r>
            <w:r w:rsidRPr="007A6720">
              <w:rPr>
                <w:noProof/>
                <w:webHidden/>
              </w:rPr>
              <w:tab/>
            </w:r>
            <w:r w:rsidRPr="007A6720">
              <w:rPr>
                <w:noProof/>
                <w:webHidden/>
              </w:rPr>
              <w:fldChar w:fldCharType="begin"/>
            </w:r>
            <w:r w:rsidRPr="007A6720">
              <w:rPr>
                <w:noProof/>
                <w:webHidden/>
              </w:rPr>
              <w:instrText xml:space="preserve"> PAGEREF _Toc94360224 \h </w:instrText>
            </w:r>
            <w:r w:rsidRPr="007A6720">
              <w:rPr>
                <w:noProof/>
                <w:webHidden/>
              </w:rPr>
            </w:r>
            <w:r w:rsidRPr="007A6720">
              <w:rPr>
                <w:noProof/>
                <w:webHidden/>
              </w:rPr>
              <w:fldChar w:fldCharType="separate"/>
            </w:r>
            <w:r w:rsidR="00C57050">
              <w:rPr>
                <w:noProof/>
                <w:webHidden/>
              </w:rPr>
              <w:t>107</w:t>
            </w:r>
            <w:r w:rsidRPr="007A6720">
              <w:rPr>
                <w:noProof/>
                <w:webHidden/>
              </w:rPr>
              <w:fldChar w:fldCharType="end"/>
            </w:r>
          </w:hyperlink>
        </w:p>
        <w:p w14:paraId="3A2D8A73" w14:textId="7BA149FC"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25"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General Principles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_Toc94360225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107</w:t>
            </w:r>
            <w:r w:rsidRPr="007A6720">
              <w:rPr>
                <w:rFonts w:ascii="Arial" w:hAnsi="Arial" w:cs="Arial"/>
                <w:noProof/>
                <w:webHidden/>
                <w:sz w:val="24"/>
                <w:szCs w:val="24"/>
              </w:rPr>
              <w:fldChar w:fldCharType="end"/>
            </w:r>
          </w:hyperlink>
        </w:p>
        <w:p w14:paraId="0025336D" w14:textId="205BC7C7"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26"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Definition of “Time of Sentencing”</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_Toc94360226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108</w:t>
            </w:r>
            <w:r w:rsidRPr="007A6720">
              <w:rPr>
                <w:rFonts w:ascii="Arial" w:hAnsi="Arial" w:cs="Arial"/>
                <w:noProof/>
                <w:webHidden/>
                <w:sz w:val="24"/>
                <w:szCs w:val="24"/>
              </w:rPr>
              <w:fldChar w:fldCharType="end"/>
            </w:r>
          </w:hyperlink>
        </w:p>
        <w:p w14:paraId="2E328150" w14:textId="6C99E422"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27" w:history="1">
            <w:r w:rsidRPr="007A6720">
              <w:rPr>
                <w:rStyle w:val="Hyperlink"/>
                <w:rFonts w:ascii="Arial" w:hAnsi="Arial" w:cs="Arial"/>
                <w:noProof/>
                <w:sz w:val="24"/>
                <w:szCs w:val="24"/>
              </w:rPr>
              <w:t>C.</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Definition of Punishment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_Toc94360227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108</w:t>
            </w:r>
            <w:r w:rsidRPr="007A6720">
              <w:rPr>
                <w:rFonts w:ascii="Arial" w:hAnsi="Arial" w:cs="Arial"/>
                <w:noProof/>
                <w:webHidden/>
                <w:sz w:val="24"/>
                <w:szCs w:val="24"/>
              </w:rPr>
              <w:fldChar w:fldCharType="end"/>
            </w:r>
          </w:hyperlink>
        </w:p>
        <w:p w14:paraId="6297B40D" w14:textId="1B0E7C22"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28" w:history="1">
            <w:r w:rsidRPr="007A6720">
              <w:rPr>
                <w:rStyle w:val="Hyperlink"/>
                <w:rFonts w:ascii="Arial" w:hAnsi="Arial" w:cs="Arial"/>
                <w:noProof/>
                <w:sz w:val="24"/>
                <w:szCs w:val="24"/>
              </w:rPr>
              <w:t>D.</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Application of the presumption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_Toc94360228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109</w:t>
            </w:r>
            <w:r w:rsidRPr="007A6720">
              <w:rPr>
                <w:rFonts w:ascii="Arial" w:hAnsi="Arial" w:cs="Arial"/>
                <w:noProof/>
                <w:webHidden/>
                <w:sz w:val="24"/>
                <w:szCs w:val="24"/>
              </w:rPr>
              <w:fldChar w:fldCharType="end"/>
            </w:r>
          </w:hyperlink>
        </w:p>
        <w:p w14:paraId="70E344B7" w14:textId="0AF83770"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29" w:history="1">
            <w:r w:rsidRPr="007A6720">
              <w:rPr>
                <w:rStyle w:val="Hyperlink"/>
                <w:rFonts w:ascii="Arial" w:hAnsi="Arial" w:cs="Arial"/>
                <w:noProof/>
                <w:sz w:val="24"/>
                <w:szCs w:val="24"/>
              </w:rPr>
              <w:t>E.</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Time of Commission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_Toc94360229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109</w:t>
            </w:r>
            <w:r w:rsidRPr="007A6720">
              <w:rPr>
                <w:rFonts w:ascii="Arial" w:hAnsi="Arial" w:cs="Arial"/>
                <w:noProof/>
                <w:webHidden/>
                <w:sz w:val="24"/>
                <w:szCs w:val="24"/>
              </w:rPr>
              <w:fldChar w:fldCharType="end"/>
            </w:r>
          </w:hyperlink>
        </w:p>
        <w:p w14:paraId="59D01332" w14:textId="3CBAABE7"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30" w:history="1">
            <w:r w:rsidRPr="007A6720">
              <w:rPr>
                <w:rStyle w:val="Hyperlink"/>
                <w:rFonts w:ascii="Arial" w:hAnsi="Arial" w:cs="Arial"/>
                <w:noProof/>
                <w:sz w:val="24"/>
                <w:szCs w:val="24"/>
              </w:rPr>
              <w:t>F.</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Specific Examples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_Toc94360230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109</w:t>
            </w:r>
            <w:r w:rsidRPr="007A6720">
              <w:rPr>
                <w:rFonts w:ascii="Arial" w:hAnsi="Arial" w:cs="Arial"/>
                <w:noProof/>
                <w:webHidden/>
                <w:sz w:val="24"/>
                <w:szCs w:val="24"/>
              </w:rPr>
              <w:fldChar w:fldCharType="end"/>
            </w:r>
          </w:hyperlink>
        </w:p>
        <w:p w14:paraId="1E7D429A" w14:textId="1AE16227" w:rsidR="007A6720" w:rsidRPr="007A6720" w:rsidRDefault="007A6720" w:rsidP="007A6720">
          <w:pPr>
            <w:pStyle w:val="TOC1"/>
            <w:rPr>
              <w:rFonts w:eastAsiaTheme="minorEastAsia"/>
              <w:noProof/>
              <w:lang w:val="en-CA"/>
            </w:rPr>
          </w:pPr>
          <w:hyperlink w:anchor="_Toc94360231" w:history="1">
            <w:r w:rsidRPr="007A6720">
              <w:rPr>
                <w:rStyle w:val="Hyperlink"/>
                <w:rFonts w:ascii="Arial" w:hAnsi="Arial" w:cs="Arial"/>
                <w:noProof/>
                <w:sz w:val="24"/>
                <w:szCs w:val="24"/>
              </w:rPr>
              <w:t>SECTION 12</w:t>
            </w:r>
            <w:r w:rsidRPr="007A6720">
              <w:rPr>
                <w:noProof/>
                <w:webHidden/>
              </w:rPr>
              <w:tab/>
            </w:r>
            <w:r w:rsidRPr="007A6720">
              <w:rPr>
                <w:noProof/>
                <w:webHidden/>
              </w:rPr>
              <w:fldChar w:fldCharType="begin"/>
            </w:r>
            <w:r w:rsidRPr="007A6720">
              <w:rPr>
                <w:noProof/>
                <w:webHidden/>
              </w:rPr>
              <w:instrText xml:space="preserve"> PAGEREF _Toc94360231 \h </w:instrText>
            </w:r>
            <w:r w:rsidRPr="007A6720">
              <w:rPr>
                <w:noProof/>
                <w:webHidden/>
              </w:rPr>
            </w:r>
            <w:r w:rsidRPr="007A6720">
              <w:rPr>
                <w:noProof/>
                <w:webHidden/>
              </w:rPr>
              <w:fldChar w:fldCharType="separate"/>
            </w:r>
            <w:r w:rsidR="00C57050">
              <w:rPr>
                <w:noProof/>
                <w:webHidden/>
              </w:rPr>
              <w:t>110</w:t>
            </w:r>
            <w:r w:rsidRPr="007A6720">
              <w:rPr>
                <w:noProof/>
                <w:webHidden/>
              </w:rPr>
              <w:fldChar w:fldCharType="end"/>
            </w:r>
          </w:hyperlink>
        </w:p>
        <w:p w14:paraId="4670D4D4" w14:textId="4FC2BD63"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32"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Gross Disproportionality in Sentencing</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_Toc94360232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110</w:t>
            </w:r>
            <w:r w:rsidRPr="007A6720">
              <w:rPr>
                <w:rFonts w:ascii="Arial" w:hAnsi="Arial" w:cs="Arial"/>
                <w:noProof/>
                <w:webHidden/>
                <w:sz w:val="24"/>
                <w:szCs w:val="24"/>
              </w:rPr>
              <w:fldChar w:fldCharType="end"/>
            </w:r>
          </w:hyperlink>
        </w:p>
        <w:p w14:paraId="71A19C68" w14:textId="7C46FE9A"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33"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Excessive Use of Force</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_Toc94360233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112</w:t>
            </w:r>
            <w:r w:rsidRPr="007A6720">
              <w:rPr>
                <w:rFonts w:ascii="Arial" w:hAnsi="Arial" w:cs="Arial"/>
                <w:noProof/>
                <w:webHidden/>
                <w:sz w:val="24"/>
                <w:szCs w:val="24"/>
              </w:rPr>
              <w:fldChar w:fldCharType="end"/>
            </w:r>
          </w:hyperlink>
        </w:p>
        <w:p w14:paraId="5FFA485A" w14:textId="527D2923" w:rsidR="007A6720" w:rsidRPr="007A6720" w:rsidRDefault="007A6720" w:rsidP="007A6720">
          <w:pPr>
            <w:pStyle w:val="TOC1"/>
            <w:rPr>
              <w:rFonts w:eastAsiaTheme="minorEastAsia"/>
              <w:noProof/>
              <w:lang w:val="en-CA"/>
            </w:rPr>
          </w:pPr>
          <w:hyperlink w:anchor="_Toc94360234" w:history="1">
            <w:r w:rsidRPr="007A6720">
              <w:rPr>
                <w:rStyle w:val="Hyperlink"/>
                <w:rFonts w:ascii="Arial" w:hAnsi="Arial" w:cs="Arial"/>
                <w:noProof/>
                <w:sz w:val="24"/>
                <w:szCs w:val="24"/>
              </w:rPr>
              <w:t>SECTION 13</w:t>
            </w:r>
            <w:r w:rsidRPr="007A6720">
              <w:rPr>
                <w:noProof/>
                <w:webHidden/>
              </w:rPr>
              <w:tab/>
            </w:r>
            <w:r w:rsidRPr="007A6720">
              <w:rPr>
                <w:noProof/>
                <w:webHidden/>
              </w:rPr>
              <w:fldChar w:fldCharType="begin"/>
            </w:r>
            <w:r w:rsidRPr="007A6720">
              <w:rPr>
                <w:noProof/>
                <w:webHidden/>
              </w:rPr>
              <w:instrText xml:space="preserve"> PAGEREF _Toc94360234 \h </w:instrText>
            </w:r>
            <w:r w:rsidRPr="007A6720">
              <w:rPr>
                <w:noProof/>
                <w:webHidden/>
              </w:rPr>
            </w:r>
            <w:r w:rsidRPr="007A6720">
              <w:rPr>
                <w:noProof/>
                <w:webHidden/>
              </w:rPr>
              <w:fldChar w:fldCharType="separate"/>
            </w:r>
            <w:r w:rsidR="00C57050">
              <w:rPr>
                <w:noProof/>
                <w:webHidden/>
              </w:rPr>
              <w:t>112</w:t>
            </w:r>
            <w:r w:rsidRPr="007A6720">
              <w:rPr>
                <w:noProof/>
                <w:webHidden/>
              </w:rPr>
              <w:fldChar w:fldCharType="end"/>
            </w:r>
          </w:hyperlink>
        </w:p>
        <w:p w14:paraId="1FB6873A" w14:textId="61FD2BB2" w:rsidR="007A6720" w:rsidRPr="007A6720" w:rsidRDefault="007A6720" w:rsidP="007A6720">
          <w:pPr>
            <w:pStyle w:val="TOC1"/>
            <w:rPr>
              <w:rFonts w:eastAsiaTheme="minorEastAsia"/>
              <w:noProof/>
              <w:lang w:val="en-CA"/>
            </w:rPr>
          </w:pPr>
          <w:hyperlink w:anchor="_Toc94360235" w:history="1">
            <w:r w:rsidRPr="007A6720">
              <w:rPr>
                <w:rStyle w:val="Hyperlink"/>
                <w:rFonts w:ascii="Arial" w:hAnsi="Arial" w:cs="Arial"/>
                <w:noProof/>
                <w:sz w:val="24"/>
                <w:szCs w:val="24"/>
              </w:rPr>
              <w:t>SECTION 14</w:t>
            </w:r>
            <w:r w:rsidRPr="007A6720">
              <w:rPr>
                <w:noProof/>
                <w:webHidden/>
              </w:rPr>
              <w:tab/>
            </w:r>
            <w:r w:rsidRPr="007A6720">
              <w:rPr>
                <w:noProof/>
                <w:webHidden/>
              </w:rPr>
              <w:fldChar w:fldCharType="begin"/>
            </w:r>
            <w:r w:rsidRPr="007A6720">
              <w:rPr>
                <w:noProof/>
                <w:webHidden/>
              </w:rPr>
              <w:instrText xml:space="preserve"> PAGEREF _Toc94360235 \h </w:instrText>
            </w:r>
            <w:r w:rsidRPr="007A6720">
              <w:rPr>
                <w:noProof/>
                <w:webHidden/>
              </w:rPr>
            </w:r>
            <w:r w:rsidRPr="007A6720">
              <w:rPr>
                <w:noProof/>
                <w:webHidden/>
              </w:rPr>
              <w:fldChar w:fldCharType="separate"/>
            </w:r>
            <w:r w:rsidR="00C57050">
              <w:rPr>
                <w:noProof/>
                <w:webHidden/>
              </w:rPr>
              <w:t>114</w:t>
            </w:r>
            <w:r w:rsidRPr="007A6720">
              <w:rPr>
                <w:noProof/>
                <w:webHidden/>
              </w:rPr>
              <w:fldChar w:fldCharType="end"/>
            </w:r>
          </w:hyperlink>
        </w:p>
        <w:p w14:paraId="386E9071" w14:textId="48AB4092"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36"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General Principles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_Toc94360236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114</w:t>
            </w:r>
            <w:r w:rsidRPr="007A6720">
              <w:rPr>
                <w:rFonts w:ascii="Arial" w:hAnsi="Arial" w:cs="Arial"/>
                <w:noProof/>
                <w:webHidden/>
                <w:sz w:val="24"/>
                <w:szCs w:val="24"/>
              </w:rPr>
              <w:fldChar w:fldCharType="end"/>
            </w:r>
          </w:hyperlink>
        </w:p>
        <w:p w14:paraId="04A806C3" w14:textId="5D08E54B"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237"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On Appeal</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_Toc94360237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115</w:t>
            </w:r>
            <w:r w:rsidRPr="007A6720">
              <w:rPr>
                <w:rFonts w:ascii="Arial" w:hAnsi="Arial" w:cs="Arial"/>
                <w:noProof/>
                <w:webHidden/>
                <w:sz w:val="24"/>
                <w:szCs w:val="24"/>
              </w:rPr>
              <w:fldChar w:fldCharType="end"/>
            </w:r>
          </w:hyperlink>
        </w:p>
        <w:p w14:paraId="3D1813CC" w14:textId="01D95C8B" w:rsidR="007A6720" w:rsidRPr="007A6720" w:rsidRDefault="007A6720" w:rsidP="007A6720">
          <w:pPr>
            <w:pStyle w:val="TOC1"/>
            <w:rPr>
              <w:rFonts w:eastAsiaTheme="minorEastAsia"/>
              <w:noProof/>
              <w:lang w:val="en-CA"/>
            </w:rPr>
          </w:pPr>
          <w:hyperlink w:anchor="_Toc94360238" w:history="1">
            <w:r w:rsidRPr="007A6720">
              <w:rPr>
                <w:rStyle w:val="Hyperlink"/>
                <w:rFonts w:ascii="Arial" w:hAnsi="Arial" w:cs="Arial"/>
                <w:noProof/>
                <w:sz w:val="24"/>
                <w:szCs w:val="24"/>
              </w:rPr>
              <w:t>SECTION 24(1)</w:t>
            </w:r>
            <w:r w:rsidRPr="007A6720">
              <w:rPr>
                <w:noProof/>
                <w:webHidden/>
              </w:rPr>
              <w:tab/>
            </w:r>
            <w:r w:rsidRPr="007A6720">
              <w:rPr>
                <w:noProof/>
                <w:webHidden/>
              </w:rPr>
              <w:fldChar w:fldCharType="begin"/>
            </w:r>
            <w:r w:rsidRPr="007A6720">
              <w:rPr>
                <w:noProof/>
                <w:webHidden/>
              </w:rPr>
              <w:instrText xml:space="preserve"> PAGEREF _Toc94360238 \h </w:instrText>
            </w:r>
            <w:r w:rsidRPr="007A6720">
              <w:rPr>
                <w:noProof/>
                <w:webHidden/>
              </w:rPr>
            </w:r>
            <w:r w:rsidRPr="007A6720">
              <w:rPr>
                <w:noProof/>
                <w:webHidden/>
              </w:rPr>
              <w:fldChar w:fldCharType="separate"/>
            </w:r>
            <w:r w:rsidR="00C57050">
              <w:rPr>
                <w:noProof/>
                <w:webHidden/>
              </w:rPr>
              <w:t>115</w:t>
            </w:r>
            <w:r w:rsidRPr="007A6720">
              <w:rPr>
                <w:noProof/>
                <w:webHidden/>
              </w:rPr>
              <w:fldChar w:fldCharType="end"/>
            </w:r>
          </w:hyperlink>
        </w:p>
        <w:p w14:paraId="5FBC5259" w14:textId="00027484"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39"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General Principles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_Toc94360239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115</w:t>
            </w:r>
            <w:r w:rsidRPr="007A6720">
              <w:rPr>
                <w:rFonts w:ascii="Arial" w:hAnsi="Arial" w:cs="Arial"/>
                <w:noProof/>
                <w:webHidden/>
                <w:sz w:val="24"/>
                <w:szCs w:val="24"/>
              </w:rPr>
              <w:fldChar w:fldCharType="end"/>
            </w:r>
          </w:hyperlink>
        </w:p>
        <w:p w14:paraId="56B006FC" w14:textId="25F911F0"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40"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Remedy of Declaration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_Toc94360240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116</w:t>
            </w:r>
            <w:r w:rsidRPr="007A6720">
              <w:rPr>
                <w:rFonts w:ascii="Arial" w:hAnsi="Arial" w:cs="Arial"/>
                <w:noProof/>
                <w:webHidden/>
                <w:sz w:val="24"/>
                <w:szCs w:val="24"/>
              </w:rPr>
              <w:fldChar w:fldCharType="end"/>
            </w:r>
          </w:hyperlink>
        </w:p>
        <w:p w14:paraId="3A08C58B" w14:textId="178456EA"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41"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Remedy of Costs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_Toc94360241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116</w:t>
            </w:r>
            <w:r w:rsidRPr="007A6720">
              <w:rPr>
                <w:rFonts w:ascii="Arial" w:hAnsi="Arial" w:cs="Arial"/>
                <w:noProof/>
                <w:webHidden/>
                <w:sz w:val="24"/>
                <w:szCs w:val="24"/>
              </w:rPr>
              <w:fldChar w:fldCharType="end"/>
            </w:r>
          </w:hyperlink>
        </w:p>
        <w:p w14:paraId="7D8F30B8" w14:textId="6786DA40"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242"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Jurisdiction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_Toc94360242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116</w:t>
            </w:r>
            <w:r w:rsidRPr="007A6720">
              <w:rPr>
                <w:rFonts w:ascii="Arial" w:hAnsi="Arial" w:cs="Arial"/>
                <w:noProof/>
                <w:webHidden/>
                <w:sz w:val="24"/>
                <w:szCs w:val="24"/>
              </w:rPr>
              <w:fldChar w:fldCharType="end"/>
            </w:r>
          </w:hyperlink>
        </w:p>
        <w:p w14:paraId="794D1121" w14:textId="485CD229"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243" w:history="1">
            <w:r>
              <w:rPr>
                <w:rStyle w:val="Hyperlink"/>
                <w:rFonts w:ascii="Arial" w:hAnsi="Arial" w:cs="Arial"/>
                <w:noProof/>
                <w:sz w:val="24"/>
                <w:szCs w:val="24"/>
              </w:rPr>
              <w:t>ii</w:t>
            </w:r>
            <w:r w:rsidRPr="007A6720">
              <w:rPr>
                <w:rStyle w:val="Hyperlink"/>
                <w:rFonts w:ascii="Arial" w:hAnsi="Arial" w:cs="Arial"/>
                <w:noProof/>
                <w:sz w:val="24"/>
                <w:szCs w:val="24"/>
              </w:rPr>
              <w:t>.</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When Available as remedy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_Toc94360243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117</w:t>
            </w:r>
            <w:r w:rsidRPr="007A6720">
              <w:rPr>
                <w:rFonts w:ascii="Arial" w:hAnsi="Arial" w:cs="Arial"/>
                <w:noProof/>
                <w:webHidden/>
                <w:sz w:val="24"/>
                <w:szCs w:val="24"/>
              </w:rPr>
              <w:fldChar w:fldCharType="end"/>
            </w:r>
          </w:hyperlink>
        </w:p>
        <w:p w14:paraId="1C971CCC" w14:textId="48ED6320"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44"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Remedy of a Stay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_Toc94360244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118</w:t>
            </w:r>
            <w:r w:rsidRPr="007A6720">
              <w:rPr>
                <w:rFonts w:ascii="Arial" w:hAnsi="Arial" w:cs="Arial"/>
                <w:noProof/>
                <w:webHidden/>
                <w:sz w:val="24"/>
                <w:szCs w:val="24"/>
              </w:rPr>
              <w:fldChar w:fldCharType="end"/>
            </w:r>
          </w:hyperlink>
        </w:p>
        <w:p w14:paraId="6C3870AF" w14:textId="6E576BBB"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245"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The Test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_Toc94360245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118</w:t>
            </w:r>
            <w:r w:rsidRPr="007A6720">
              <w:rPr>
                <w:rFonts w:ascii="Arial" w:hAnsi="Arial" w:cs="Arial"/>
                <w:noProof/>
                <w:webHidden/>
                <w:sz w:val="24"/>
                <w:szCs w:val="24"/>
              </w:rPr>
              <w:fldChar w:fldCharType="end"/>
            </w:r>
          </w:hyperlink>
        </w:p>
        <w:p w14:paraId="4C47DAB7" w14:textId="0F461B12"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46" w:history="1">
            <w:r w:rsidRPr="007A6720">
              <w:rPr>
                <w:rStyle w:val="Hyperlink"/>
                <w:rFonts w:ascii="Arial" w:hAnsi="Arial" w:cs="Arial"/>
                <w:noProof/>
                <w:sz w:val="24"/>
                <w:szCs w:val="24"/>
              </w:rPr>
              <w:t>C.</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Remedy of Sentence Deduction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_Toc94360246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120</w:t>
            </w:r>
            <w:r w:rsidRPr="007A6720">
              <w:rPr>
                <w:rFonts w:ascii="Arial" w:hAnsi="Arial" w:cs="Arial"/>
                <w:noProof/>
                <w:webHidden/>
                <w:sz w:val="24"/>
                <w:szCs w:val="24"/>
              </w:rPr>
              <w:fldChar w:fldCharType="end"/>
            </w:r>
          </w:hyperlink>
        </w:p>
        <w:p w14:paraId="7B9E831B" w14:textId="204A6F07" w:rsidR="007A6720" w:rsidRPr="007A6720" w:rsidRDefault="007A6720" w:rsidP="007A6720">
          <w:pPr>
            <w:pStyle w:val="TOC1"/>
            <w:rPr>
              <w:rFonts w:eastAsiaTheme="minorEastAsia"/>
              <w:noProof/>
              <w:lang w:val="en-CA"/>
            </w:rPr>
          </w:pPr>
          <w:hyperlink w:anchor="_Toc94360247" w:history="1">
            <w:r w:rsidRPr="007A6720">
              <w:rPr>
                <w:rStyle w:val="Hyperlink"/>
                <w:rFonts w:ascii="Arial" w:hAnsi="Arial" w:cs="Arial"/>
                <w:noProof/>
                <w:sz w:val="24"/>
                <w:szCs w:val="24"/>
              </w:rPr>
              <w:t>SECTION 24(2)</w:t>
            </w:r>
            <w:r w:rsidRPr="007A6720">
              <w:rPr>
                <w:noProof/>
                <w:webHidden/>
              </w:rPr>
              <w:tab/>
            </w:r>
            <w:r w:rsidRPr="007A6720">
              <w:rPr>
                <w:noProof/>
                <w:webHidden/>
              </w:rPr>
              <w:fldChar w:fldCharType="begin"/>
            </w:r>
            <w:r w:rsidRPr="007A6720">
              <w:rPr>
                <w:noProof/>
                <w:webHidden/>
              </w:rPr>
              <w:instrText xml:space="preserve"> PAGEREF _Toc94360247 \h </w:instrText>
            </w:r>
            <w:r w:rsidRPr="007A6720">
              <w:rPr>
                <w:noProof/>
                <w:webHidden/>
              </w:rPr>
            </w:r>
            <w:r w:rsidRPr="007A6720">
              <w:rPr>
                <w:noProof/>
                <w:webHidden/>
              </w:rPr>
              <w:fldChar w:fldCharType="separate"/>
            </w:r>
            <w:r w:rsidR="00C57050">
              <w:rPr>
                <w:noProof/>
                <w:webHidden/>
              </w:rPr>
              <w:t>120</w:t>
            </w:r>
            <w:r w:rsidRPr="007A6720">
              <w:rPr>
                <w:noProof/>
                <w:webHidden/>
              </w:rPr>
              <w:fldChar w:fldCharType="end"/>
            </w:r>
          </w:hyperlink>
        </w:p>
        <w:p w14:paraId="0B18A0D7" w14:textId="1DA4E24E"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48"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Standard of Review</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_Toc94360248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120</w:t>
            </w:r>
            <w:r w:rsidRPr="007A6720">
              <w:rPr>
                <w:rFonts w:ascii="Arial" w:hAnsi="Arial" w:cs="Arial"/>
                <w:noProof/>
                <w:webHidden/>
                <w:sz w:val="24"/>
                <w:szCs w:val="24"/>
              </w:rPr>
              <w:fldChar w:fldCharType="end"/>
            </w:r>
          </w:hyperlink>
        </w:p>
        <w:p w14:paraId="4ADF1FA9" w14:textId="30E9C7A8"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49"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The Test</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_Toc94360249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121</w:t>
            </w:r>
            <w:r w:rsidRPr="007A6720">
              <w:rPr>
                <w:rFonts w:ascii="Arial" w:hAnsi="Arial" w:cs="Arial"/>
                <w:noProof/>
                <w:webHidden/>
                <w:sz w:val="24"/>
                <w:szCs w:val="24"/>
              </w:rPr>
              <w:fldChar w:fldCharType="end"/>
            </w:r>
          </w:hyperlink>
        </w:p>
        <w:p w14:paraId="6CCE8224" w14:textId="1654BE6F"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250" w:history="1">
            <w:r w:rsidRPr="007A6720">
              <w:rPr>
                <w:rStyle w:val="Hyperlink"/>
                <w:rFonts w:ascii="Arial" w:hAnsi="Arial" w:cs="Arial"/>
                <w:noProof/>
                <w:sz w:val="24"/>
                <w:szCs w:val="24"/>
              </w:rPr>
              <w:t>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Precondition: Obtained in a manner</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_Toc94360250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121</w:t>
            </w:r>
            <w:r w:rsidRPr="007A6720">
              <w:rPr>
                <w:rFonts w:ascii="Arial" w:hAnsi="Arial" w:cs="Arial"/>
                <w:noProof/>
                <w:webHidden/>
                <w:sz w:val="24"/>
                <w:szCs w:val="24"/>
              </w:rPr>
              <w:fldChar w:fldCharType="end"/>
            </w:r>
          </w:hyperlink>
        </w:p>
        <w:p w14:paraId="4963808F" w14:textId="2DF24E99"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251" w:history="1">
            <w:r w:rsidRPr="007A6720">
              <w:rPr>
                <w:rStyle w:val="Hyperlink"/>
                <w:rFonts w:ascii="Arial" w:hAnsi="Arial" w:cs="Arial"/>
                <w:noProof/>
                <w:sz w:val="24"/>
                <w:szCs w:val="24"/>
              </w:rPr>
              <w:t>ii.</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Step 1: Seriousness of the Breach</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_Toc94360251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122</w:t>
            </w:r>
            <w:r w:rsidRPr="007A6720">
              <w:rPr>
                <w:rFonts w:ascii="Arial" w:hAnsi="Arial" w:cs="Arial"/>
                <w:noProof/>
                <w:webHidden/>
                <w:sz w:val="24"/>
                <w:szCs w:val="24"/>
              </w:rPr>
              <w:fldChar w:fldCharType="end"/>
            </w:r>
          </w:hyperlink>
        </w:p>
        <w:p w14:paraId="0947D3EE" w14:textId="6D734150"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252" w:history="1">
            <w:r w:rsidRPr="007A6720">
              <w:rPr>
                <w:rStyle w:val="Hyperlink"/>
                <w:rFonts w:ascii="Arial" w:hAnsi="Arial" w:cs="Arial"/>
                <w:noProof/>
                <w:sz w:val="24"/>
                <w:szCs w:val="24"/>
              </w:rPr>
              <w:t>i</w:t>
            </w:r>
            <w:r>
              <w:rPr>
                <w:rStyle w:val="Hyperlink"/>
                <w:rFonts w:ascii="Arial" w:hAnsi="Arial" w:cs="Arial"/>
                <w:noProof/>
                <w:sz w:val="24"/>
                <w:szCs w:val="24"/>
              </w:rPr>
              <w:t>ii</w:t>
            </w:r>
            <w:r w:rsidRPr="007A6720">
              <w:rPr>
                <w:rStyle w:val="Hyperlink"/>
                <w:rFonts w:ascii="Arial" w:hAnsi="Arial" w:cs="Arial"/>
                <w:noProof/>
                <w:sz w:val="24"/>
                <w:szCs w:val="24"/>
              </w:rPr>
              <w:t>.</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Step 2: Impact of the Breach on Accused's Charter Protected Interests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_Toc94360252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126</w:t>
            </w:r>
            <w:r w:rsidRPr="007A6720">
              <w:rPr>
                <w:rFonts w:ascii="Arial" w:hAnsi="Arial" w:cs="Arial"/>
                <w:noProof/>
                <w:webHidden/>
                <w:sz w:val="24"/>
                <w:szCs w:val="24"/>
              </w:rPr>
              <w:fldChar w:fldCharType="end"/>
            </w:r>
          </w:hyperlink>
        </w:p>
        <w:p w14:paraId="239A0D1B" w14:textId="2AEF7A03"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r>
            <w:rPr>
              <w:rStyle w:val="Hyperlink"/>
              <w:rFonts w:ascii="Arial" w:hAnsi="Arial" w:cs="Arial"/>
              <w:noProof/>
              <w:sz w:val="24"/>
              <w:szCs w:val="24"/>
            </w:rPr>
            <w:t>i</w:t>
          </w:r>
          <w:hyperlink w:anchor="_Toc94360253"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Step 3: Society’s Interest in a Trial on the Merits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_Toc94360253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128</w:t>
            </w:r>
            <w:r w:rsidRPr="007A6720">
              <w:rPr>
                <w:rFonts w:ascii="Arial" w:hAnsi="Arial" w:cs="Arial"/>
                <w:noProof/>
                <w:webHidden/>
                <w:sz w:val="24"/>
                <w:szCs w:val="24"/>
              </w:rPr>
              <w:fldChar w:fldCharType="end"/>
            </w:r>
          </w:hyperlink>
        </w:p>
        <w:p w14:paraId="67F58EC3" w14:textId="6D1613CB" w:rsidR="007A6720" w:rsidRPr="007A6720" w:rsidRDefault="007A6720" w:rsidP="007A6720">
          <w:pPr>
            <w:pStyle w:val="TOC3"/>
            <w:tabs>
              <w:tab w:val="left" w:pos="960"/>
              <w:tab w:val="right" w:leader="dot" w:pos="8630"/>
            </w:tabs>
            <w:spacing w:line="480" w:lineRule="auto"/>
            <w:rPr>
              <w:rFonts w:ascii="Arial" w:eastAsiaTheme="minorEastAsia" w:hAnsi="Arial" w:cs="Arial"/>
              <w:noProof/>
              <w:sz w:val="24"/>
              <w:szCs w:val="24"/>
              <w:lang w:val="en-CA"/>
            </w:rPr>
          </w:pPr>
          <w:hyperlink w:anchor="_Toc94360254" w:history="1">
            <w:r w:rsidRPr="007A6720">
              <w:rPr>
                <w:rStyle w:val="Hyperlink"/>
                <w:rFonts w:ascii="Arial" w:hAnsi="Arial" w:cs="Arial"/>
                <w:noProof/>
                <w:sz w:val="24"/>
                <w:szCs w:val="24"/>
              </w:rPr>
              <w:t>v.</w:t>
            </w:r>
            <w:r w:rsidRPr="007A6720">
              <w:rPr>
                <w:rFonts w:ascii="Arial" w:eastAsiaTheme="minorEastAsia" w:hAnsi="Arial" w:cs="Arial"/>
                <w:noProof/>
                <w:sz w:val="24"/>
                <w:szCs w:val="24"/>
                <w:lang w:val="en-CA"/>
              </w:rPr>
              <w:tab/>
            </w:r>
            <w:r w:rsidRPr="007A6720">
              <w:rPr>
                <w:rStyle w:val="Hyperlink"/>
                <w:rFonts w:ascii="Arial" w:hAnsi="Arial" w:cs="Arial"/>
                <w:noProof/>
                <w:sz w:val="24"/>
                <w:szCs w:val="24"/>
              </w:rPr>
              <w:t>Balancing the Interests of the Individual and Society</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_Toc94360254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128</w:t>
            </w:r>
            <w:r w:rsidRPr="007A6720">
              <w:rPr>
                <w:rFonts w:ascii="Arial" w:hAnsi="Arial" w:cs="Arial"/>
                <w:noProof/>
                <w:webHidden/>
                <w:sz w:val="24"/>
                <w:szCs w:val="24"/>
              </w:rPr>
              <w:fldChar w:fldCharType="end"/>
            </w:r>
          </w:hyperlink>
        </w:p>
        <w:p w14:paraId="5272B365" w14:textId="06D3F877" w:rsidR="007A6720" w:rsidRPr="007A6720" w:rsidRDefault="007A6720" w:rsidP="007A6720">
          <w:pPr>
            <w:pStyle w:val="TOC1"/>
            <w:rPr>
              <w:rFonts w:eastAsiaTheme="minorEastAsia"/>
              <w:noProof/>
              <w:lang w:val="en-CA"/>
            </w:rPr>
          </w:pPr>
          <w:hyperlink w:anchor="_Toc94360255" w:history="1">
            <w:r w:rsidRPr="007A6720">
              <w:rPr>
                <w:rStyle w:val="Hyperlink"/>
                <w:rFonts w:ascii="Arial" w:hAnsi="Arial" w:cs="Arial"/>
                <w:noProof/>
                <w:sz w:val="24"/>
                <w:szCs w:val="24"/>
              </w:rPr>
              <w:t>RACIAL PROFILING</w:t>
            </w:r>
            <w:r w:rsidRPr="007A6720">
              <w:rPr>
                <w:noProof/>
                <w:webHidden/>
              </w:rPr>
              <w:tab/>
            </w:r>
            <w:r w:rsidRPr="007A6720">
              <w:rPr>
                <w:noProof/>
                <w:webHidden/>
              </w:rPr>
              <w:fldChar w:fldCharType="begin"/>
            </w:r>
            <w:r w:rsidRPr="007A6720">
              <w:rPr>
                <w:noProof/>
                <w:webHidden/>
              </w:rPr>
              <w:instrText xml:space="preserve"> PAGEREF _Toc94360255 \h </w:instrText>
            </w:r>
            <w:r w:rsidRPr="007A6720">
              <w:rPr>
                <w:noProof/>
                <w:webHidden/>
              </w:rPr>
            </w:r>
            <w:r w:rsidRPr="007A6720">
              <w:rPr>
                <w:noProof/>
                <w:webHidden/>
              </w:rPr>
              <w:fldChar w:fldCharType="separate"/>
            </w:r>
            <w:r w:rsidR="00C57050">
              <w:rPr>
                <w:noProof/>
                <w:webHidden/>
              </w:rPr>
              <w:t>129</w:t>
            </w:r>
            <w:r w:rsidRPr="007A6720">
              <w:rPr>
                <w:noProof/>
                <w:webHidden/>
              </w:rPr>
              <w:fldChar w:fldCharType="end"/>
            </w:r>
          </w:hyperlink>
        </w:p>
        <w:p w14:paraId="1558FA64" w14:textId="60540426" w:rsidR="007A6720" w:rsidRPr="007A6720" w:rsidRDefault="007A6720" w:rsidP="007A6720">
          <w:pPr>
            <w:pStyle w:val="TOC1"/>
            <w:rPr>
              <w:rFonts w:eastAsiaTheme="minorEastAsia"/>
              <w:noProof/>
              <w:lang w:val="en-CA"/>
            </w:rPr>
          </w:pPr>
          <w:hyperlink w:anchor="_Toc94360256" w:history="1">
            <w:r w:rsidRPr="007A6720">
              <w:rPr>
                <w:rStyle w:val="Hyperlink"/>
                <w:rFonts w:ascii="Arial" w:hAnsi="Arial" w:cs="Arial"/>
                <w:noProof/>
                <w:sz w:val="24"/>
                <w:szCs w:val="24"/>
              </w:rPr>
              <w:t>SECTION 52(1) OF THE CONSTITUTION ACT</w:t>
            </w:r>
            <w:r w:rsidRPr="007A6720">
              <w:rPr>
                <w:noProof/>
                <w:webHidden/>
              </w:rPr>
              <w:tab/>
            </w:r>
            <w:r w:rsidRPr="007A6720">
              <w:rPr>
                <w:noProof/>
                <w:webHidden/>
              </w:rPr>
              <w:fldChar w:fldCharType="begin"/>
            </w:r>
            <w:r w:rsidRPr="007A6720">
              <w:rPr>
                <w:noProof/>
                <w:webHidden/>
              </w:rPr>
              <w:instrText xml:space="preserve"> PAGEREF _Toc94360256 \h </w:instrText>
            </w:r>
            <w:r w:rsidRPr="007A6720">
              <w:rPr>
                <w:noProof/>
                <w:webHidden/>
              </w:rPr>
            </w:r>
            <w:r w:rsidRPr="007A6720">
              <w:rPr>
                <w:noProof/>
                <w:webHidden/>
              </w:rPr>
              <w:fldChar w:fldCharType="separate"/>
            </w:r>
            <w:r w:rsidR="00C57050">
              <w:rPr>
                <w:noProof/>
                <w:webHidden/>
              </w:rPr>
              <w:t>130</w:t>
            </w:r>
            <w:r w:rsidRPr="007A6720">
              <w:rPr>
                <w:noProof/>
                <w:webHidden/>
              </w:rPr>
              <w:fldChar w:fldCharType="end"/>
            </w:r>
          </w:hyperlink>
        </w:p>
        <w:p w14:paraId="118A99DC" w14:textId="5B164D08"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57" w:history="1">
            <w:r w:rsidRPr="007A6720">
              <w:rPr>
                <w:rStyle w:val="Hyperlink"/>
                <w:rFonts w:ascii="Arial" w:hAnsi="Arial" w:cs="Arial"/>
                <w:noProof/>
                <w:sz w:val="24"/>
                <w:szCs w:val="24"/>
              </w:rPr>
              <w:t>A.</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General Principles</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_Toc94360257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130</w:t>
            </w:r>
            <w:r w:rsidRPr="007A6720">
              <w:rPr>
                <w:rFonts w:ascii="Arial" w:hAnsi="Arial" w:cs="Arial"/>
                <w:noProof/>
                <w:webHidden/>
                <w:sz w:val="24"/>
                <w:szCs w:val="24"/>
              </w:rPr>
              <w:fldChar w:fldCharType="end"/>
            </w:r>
          </w:hyperlink>
        </w:p>
        <w:p w14:paraId="0D3D43FF" w14:textId="76444114"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58" w:history="1">
            <w:r w:rsidRPr="007A6720">
              <w:rPr>
                <w:rStyle w:val="Hyperlink"/>
                <w:rFonts w:ascii="Arial" w:hAnsi="Arial" w:cs="Arial"/>
                <w:noProof/>
                <w:sz w:val="24"/>
                <w:szCs w:val="24"/>
              </w:rPr>
              <w:t>B.</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Jurisdiction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_Toc94360258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130</w:t>
            </w:r>
            <w:r w:rsidRPr="007A6720">
              <w:rPr>
                <w:rFonts w:ascii="Arial" w:hAnsi="Arial" w:cs="Arial"/>
                <w:noProof/>
                <w:webHidden/>
                <w:sz w:val="24"/>
                <w:szCs w:val="24"/>
              </w:rPr>
              <w:fldChar w:fldCharType="end"/>
            </w:r>
          </w:hyperlink>
        </w:p>
        <w:p w14:paraId="02665486" w14:textId="0C097F94" w:rsidR="007A6720" w:rsidRPr="007A6720" w:rsidRDefault="007A6720" w:rsidP="007A6720">
          <w:pPr>
            <w:pStyle w:val="TOC2"/>
            <w:tabs>
              <w:tab w:val="left" w:pos="720"/>
              <w:tab w:val="right" w:leader="dot" w:pos="8630"/>
            </w:tabs>
            <w:spacing w:line="480" w:lineRule="auto"/>
            <w:rPr>
              <w:rFonts w:ascii="Arial" w:eastAsiaTheme="minorEastAsia" w:hAnsi="Arial" w:cs="Arial"/>
              <w:b w:val="0"/>
              <w:noProof/>
              <w:sz w:val="24"/>
              <w:szCs w:val="24"/>
              <w:lang w:val="en-CA"/>
            </w:rPr>
          </w:pPr>
          <w:hyperlink w:anchor="_Toc94360259" w:history="1">
            <w:r w:rsidRPr="007A6720">
              <w:rPr>
                <w:rStyle w:val="Hyperlink"/>
                <w:rFonts w:ascii="Arial" w:hAnsi="Arial" w:cs="Arial"/>
                <w:noProof/>
                <w:sz w:val="24"/>
                <w:szCs w:val="24"/>
              </w:rPr>
              <w:t>C.</w:t>
            </w:r>
            <w:r w:rsidRPr="007A6720">
              <w:rPr>
                <w:rFonts w:ascii="Arial" w:eastAsiaTheme="minorEastAsia" w:hAnsi="Arial" w:cs="Arial"/>
                <w:b w:val="0"/>
                <w:noProof/>
                <w:sz w:val="24"/>
                <w:szCs w:val="24"/>
                <w:lang w:val="en-CA"/>
              </w:rPr>
              <w:tab/>
            </w:r>
            <w:r w:rsidRPr="007A6720">
              <w:rPr>
                <w:rStyle w:val="Hyperlink"/>
                <w:rFonts w:ascii="Arial" w:hAnsi="Arial" w:cs="Arial"/>
                <w:noProof/>
                <w:sz w:val="24"/>
                <w:szCs w:val="24"/>
              </w:rPr>
              <w:t>Remedy of Striking Down, Reading Down or Reading in</w:t>
            </w:r>
            <w:r w:rsidRPr="007A6720">
              <w:rPr>
                <w:rFonts w:ascii="Arial" w:hAnsi="Arial" w:cs="Arial"/>
                <w:noProof/>
                <w:webHidden/>
                <w:sz w:val="24"/>
                <w:szCs w:val="24"/>
              </w:rPr>
              <w:tab/>
            </w:r>
            <w:r w:rsidRPr="007A6720">
              <w:rPr>
                <w:rFonts w:ascii="Arial" w:hAnsi="Arial" w:cs="Arial"/>
                <w:noProof/>
                <w:webHidden/>
                <w:sz w:val="24"/>
                <w:szCs w:val="24"/>
              </w:rPr>
              <w:fldChar w:fldCharType="begin"/>
            </w:r>
            <w:r w:rsidRPr="007A6720">
              <w:rPr>
                <w:rFonts w:ascii="Arial" w:hAnsi="Arial" w:cs="Arial"/>
                <w:noProof/>
                <w:webHidden/>
                <w:sz w:val="24"/>
                <w:szCs w:val="24"/>
              </w:rPr>
              <w:instrText xml:space="preserve"> PAGEREF _Toc94360259 \h </w:instrText>
            </w:r>
            <w:r w:rsidRPr="007A6720">
              <w:rPr>
                <w:rFonts w:ascii="Arial" w:hAnsi="Arial" w:cs="Arial"/>
                <w:noProof/>
                <w:webHidden/>
                <w:sz w:val="24"/>
                <w:szCs w:val="24"/>
              </w:rPr>
            </w:r>
            <w:r w:rsidRPr="007A6720">
              <w:rPr>
                <w:rFonts w:ascii="Arial" w:hAnsi="Arial" w:cs="Arial"/>
                <w:noProof/>
                <w:webHidden/>
                <w:sz w:val="24"/>
                <w:szCs w:val="24"/>
              </w:rPr>
              <w:fldChar w:fldCharType="separate"/>
            </w:r>
            <w:r w:rsidR="00C57050">
              <w:rPr>
                <w:rFonts w:ascii="Arial" w:hAnsi="Arial" w:cs="Arial"/>
                <w:noProof/>
                <w:webHidden/>
                <w:sz w:val="24"/>
                <w:szCs w:val="24"/>
              </w:rPr>
              <w:t>131</w:t>
            </w:r>
            <w:r w:rsidRPr="007A6720">
              <w:rPr>
                <w:rFonts w:ascii="Arial" w:hAnsi="Arial" w:cs="Arial"/>
                <w:noProof/>
                <w:webHidden/>
                <w:sz w:val="24"/>
                <w:szCs w:val="24"/>
              </w:rPr>
              <w:fldChar w:fldCharType="end"/>
            </w:r>
          </w:hyperlink>
        </w:p>
        <w:p w14:paraId="2AC545B7" w14:textId="5C81E322" w:rsidR="007A6720" w:rsidRPr="007A6720" w:rsidRDefault="007A6720" w:rsidP="007A6720">
          <w:pPr>
            <w:pStyle w:val="TOC1"/>
            <w:rPr>
              <w:rFonts w:eastAsiaTheme="minorEastAsia"/>
              <w:noProof/>
              <w:lang w:val="en-CA"/>
            </w:rPr>
          </w:pPr>
          <w:hyperlink w:anchor="_Toc94360260" w:history="1">
            <w:r w:rsidRPr="007A6720">
              <w:rPr>
                <w:rStyle w:val="Hyperlink"/>
                <w:rFonts w:ascii="Arial" w:hAnsi="Arial" w:cs="Arial"/>
                <w:noProof/>
                <w:sz w:val="24"/>
                <w:szCs w:val="24"/>
              </w:rPr>
              <w:t>STANDING TO ADVANCE CONSTITUTIONAL ISSUES</w:t>
            </w:r>
            <w:r w:rsidRPr="007A6720">
              <w:rPr>
                <w:noProof/>
                <w:webHidden/>
              </w:rPr>
              <w:tab/>
            </w:r>
            <w:r w:rsidRPr="007A6720">
              <w:rPr>
                <w:noProof/>
                <w:webHidden/>
              </w:rPr>
              <w:fldChar w:fldCharType="begin"/>
            </w:r>
            <w:r w:rsidRPr="007A6720">
              <w:rPr>
                <w:noProof/>
                <w:webHidden/>
              </w:rPr>
              <w:instrText xml:space="preserve"> PAGEREF _Toc94360260 \h </w:instrText>
            </w:r>
            <w:r w:rsidRPr="007A6720">
              <w:rPr>
                <w:noProof/>
                <w:webHidden/>
              </w:rPr>
            </w:r>
            <w:r w:rsidRPr="007A6720">
              <w:rPr>
                <w:noProof/>
                <w:webHidden/>
              </w:rPr>
              <w:fldChar w:fldCharType="separate"/>
            </w:r>
            <w:r w:rsidR="00C57050">
              <w:rPr>
                <w:noProof/>
                <w:webHidden/>
              </w:rPr>
              <w:t>132</w:t>
            </w:r>
            <w:r w:rsidRPr="007A6720">
              <w:rPr>
                <w:noProof/>
                <w:webHidden/>
              </w:rPr>
              <w:fldChar w:fldCharType="end"/>
            </w:r>
          </w:hyperlink>
        </w:p>
        <w:p w14:paraId="1D7EDCB3" w14:textId="6D103753" w:rsidR="00D97681" w:rsidRPr="00BB3634" w:rsidRDefault="00721C1C" w:rsidP="007A6720">
          <w:pPr>
            <w:spacing w:line="480" w:lineRule="auto"/>
            <w:rPr>
              <w:rFonts w:ascii="Arial" w:hAnsi="Arial" w:cs="Arial"/>
              <w:noProof/>
            </w:rPr>
          </w:pPr>
          <w:r w:rsidRPr="007A6720">
            <w:rPr>
              <w:rFonts w:ascii="Arial" w:hAnsi="Arial" w:cs="Arial"/>
              <w:b/>
              <w:bCs/>
              <w:noProof/>
            </w:rPr>
            <w:fldChar w:fldCharType="end"/>
          </w:r>
        </w:p>
      </w:sdtContent>
    </w:sdt>
    <w:p w14:paraId="004C6E41" w14:textId="77777777" w:rsidR="008747F6" w:rsidRPr="00BB3634" w:rsidRDefault="008747F6" w:rsidP="00BB3634">
      <w:pPr>
        <w:spacing w:line="276" w:lineRule="auto"/>
        <w:rPr>
          <w:rFonts w:ascii="Arial" w:hAnsi="Arial" w:cs="Arial"/>
          <w:noProof/>
        </w:rPr>
      </w:pPr>
    </w:p>
    <w:p w14:paraId="40C4061A" w14:textId="77777777" w:rsidR="008747F6" w:rsidRPr="00BB3634" w:rsidRDefault="008747F6" w:rsidP="00BB3634">
      <w:pPr>
        <w:spacing w:line="276" w:lineRule="auto"/>
        <w:rPr>
          <w:rFonts w:ascii="Arial" w:hAnsi="Arial" w:cs="Arial"/>
          <w:noProof/>
        </w:rPr>
      </w:pPr>
    </w:p>
    <w:p w14:paraId="3B2AF270" w14:textId="77777777" w:rsidR="008747F6" w:rsidRPr="00BB3634" w:rsidRDefault="008747F6" w:rsidP="00BB3634">
      <w:pPr>
        <w:spacing w:line="276" w:lineRule="auto"/>
        <w:rPr>
          <w:rFonts w:ascii="Arial" w:hAnsi="Arial" w:cs="Arial"/>
          <w:noProof/>
        </w:rPr>
      </w:pPr>
    </w:p>
    <w:p w14:paraId="79A37A51" w14:textId="77777777" w:rsidR="008747F6" w:rsidRPr="00BB3634" w:rsidRDefault="008747F6" w:rsidP="00BB3634">
      <w:pPr>
        <w:spacing w:line="276" w:lineRule="auto"/>
        <w:rPr>
          <w:rFonts w:ascii="Arial" w:hAnsi="Arial" w:cs="Arial"/>
          <w:noProof/>
        </w:rPr>
      </w:pPr>
    </w:p>
    <w:p w14:paraId="0F986825" w14:textId="56B46B54" w:rsidR="008747F6" w:rsidRPr="00BB3634" w:rsidRDefault="008747F6" w:rsidP="00BB3634">
      <w:pPr>
        <w:spacing w:line="276" w:lineRule="auto"/>
        <w:rPr>
          <w:rFonts w:ascii="Arial" w:hAnsi="Arial" w:cs="Arial"/>
          <w:noProof/>
        </w:rPr>
      </w:pPr>
    </w:p>
    <w:p w14:paraId="628662D6" w14:textId="364E5519" w:rsidR="00B441B1" w:rsidRPr="00BB3634" w:rsidRDefault="00B441B1" w:rsidP="00BB3634">
      <w:pPr>
        <w:spacing w:line="276" w:lineRule="auto"/>
        <w:rPr>
          <w:rFonts w:ascii="Arial" w:hAnsi="Arial" w:cs="Arial"/>
          <w:noProof/>
        </w:rPr>
      </w:pPr>
    </w:p>
    <w:p w14:paraId="762370ED" w14:textId="5DE3249E" w:rsidR="00B441B1" w:rsidRPr="00BB3634" w:rsidRDefault="00B441B1" w:rsidP="00BB3634">
      <w:pPr>
        <w:spacing w:line="276" w:lineRule="auto"/>
        <w:rPr>
          <w:rFonts w:ascii="Arial" w:hAnsi="Arial" w:cs="Arial"/>
          <w:noProof/>
        </w:rPr>
      </w:pPr>
    </w:p>
    <w:p w14:paraId="6E00ABDE" w14:textId="20EC78CF" w:rsidR="00B441B1" w:rsidRPr="00BB3634" w:rsidRDefault="00B441B1" w:rsidP="00BB3634">
      <w:pPr>
        <w:spacing w:line="276" w:lineRule="auto"/>
        <w:rPr>
          <w:rFonts w:ascii="Arial" w:hAnsi="Arial" w:cs="Arial"/>
          <w:noProof/>
        </w:rPr>
      </w:pPr>
    </w:p>
    <w:p w14:paraId="2AE35A6B" w14:textId="0AFCB16B" w:rsidR="00B441B1" w:rsidRPr="00BB3634" w:rsidRDefault="00B441B1" w:rsidP="00BB3634">
      <w:pPr>
        <w:spacing w:line="276" w:lineRule="auto"/>
        <w:rPr>
          <w:rFonts w:ascii="Arial" w:hAnsi="Arial" w:cs="Arial"/>
          <w:noProof/>
        </w:rPr>
      </w:pPr>
    </w:p>
    <w:p w14:paraId="1B2F04C7" w14:textId="3491D5F8" w:rsidR="00B441B1" w:rsidRPr="00BB3634" w:rsidRDefault="00B441B1" w:rsidP="00BB3634">
      <w:pPr>
        <w:spacing w:line="276" w:lineRule="auto"/>
        <w:rPr>
          <w:rFonts w:ascii="Arial" w:hAnsi="Arial" w:cs="Arial"/>
          <w:noProof/>
        </w:rPr>
      </w:pPr>
    </w:p>
    <w:p w14:paraId="59CA6DD9" w14:textId="23723466" w:rsidR="00B441B1" w:rsidRPr="00BB3634" w:rsidRDefault="00B441B1" w:rsidP="00BB3634">
      <w:pPr>
        <w:spacing w:line="276" w:lineRule="auto"/>
        <w:rPr>
          <w:rFonts w:ascii="Arial" w:hAnsi="Arial" w:cs="Arial"/>
          <w:noProof/>
        </w:rPr>
      </w:pPr>
    </w:p>
    <w:p w14:paraId="6F50FBCD" w14:textId="52CBA7CE" w:rsidR="00B441B1" w:rsidRPr="00BB3634" w:rsidRDefault="00B441B1" w:rsidP="00BB3634">
      <w:pPr>
        <w:spacing w:line="276" w:lineRule="auto"/>
        <w:rPr>
          <w:rFonts w:ascii="Arial" w:hAnsi="Arial" w:cs="Arial"/>
          <w:noProof/>
        </w:rPr>
      </w:pPr>
    </w:p>
    <w:p w14:paraId="69F163F9" w14:textId="4E8B96DD" w:rsidR="00B441B1" w:rsidRPr="00BB3634" w:rsidRDefault="00B441B1" w:rsidP="00BB3634">
      <w:pPr>
        <w:spacing w:line="276" w:lineRule="auto"/>
        <w:rPr>
          <w:rFonts w:ascii="Arial" w:hAnsi="Arial" w:cs="Arial"/>
          <w:noProof/>
        </w:rPr>
      </w:pPr>
    </w:p>
    <w:p w14:paraId="5C278748" w14:textId="46DF48CF" w:rsidR="00B441B1" w:rsidRPr="00BB3634" w:rsidRDefault="00B441B1" w:rsidP="00BB3634">
      <w:pPr>
        <w:spacing w:line="276" w:lineRule="auto"/>
        <w:rPr>
          <w:rFonts w:ascii="Arial" w:hAnsi="Arial" w:cs="Arial"/>
          <w:noProof/>
        </w:rPr>
      </w:pPr>
    </w:p>
    <w:p w14:paraId="7EF90610" w14:textId="78EAFC07" w:rsidR="00B441B1" w:rsidRPr="00BB3634" w:rsidRDefault="00B441B1" w:rsidP="00BB3634">
      <w:pPr>
        <w:spacing w:line="276" w:lineRule="auto"/>
        <w:rPr>
          <w:rFonts w:ascii="Arial" w:hAnsi="Arial" w:cs="Arial"/>
          <w:noProof/>
        </w:rPr>
      </w:pPr>
    </w:p>
    <w:p w14:paraId="22ED88E3" w14:textId="4E391415" w:rsidR="00B441B1" w:rsidRDefault="00B441B1" w:rsidP="00BB3634">
      <w:pPr>
        <w:spacing w:line="276" w:lineRule="auto"/>
        <w:rPr>
          <w:rFonts w:ascii="Arial" w:hAnsi="Arial" w:cs="Arial"/>
          <w:noProof/>
        </w:rPr>
      </w:pPr>
    </w:p>
    <w:p w14:paraId="7EC4438A" w14:textId="4A600423" w:rsidR="007A6720" w:rsidRDefault="007A6720" w:rsidP="00BB3634">
      <w:pPr>
        <w:spacing w:line="276" w:lineRule="auto"/>
        <w:rPr>
          <w:rFonts w:ascii="Arial" w:hAnsi="Arial" w:cs="Arial"/>
          <w:noProof/>
        </w:rPr>
      </w:pPr>
    </w:p>
    <w:p w14:paraId="608B880E" w14:textId="79DD1E34" w:rsidR="007A6720" w:rsidRDefault="007A6720" w:rsidP="00BB3634">
      <w:pPr>
        <w:spacing w:line="276" w:lineRule="auto"/>
        <w:rPr>
          <w:rFonts w:ascii="Arial" w:hAnsi="Arial" w:cs="Arial"/>
          <w:noProof/>
        </w:rPr>
      </w:pPr>
    </w:p>
    <w:p w14:paraId="32DCB67D" w14:textId="315C698F" w:rsidR="007A6720" w:rsidRDefault="007A6720" w:rsidP="00BB3634">
      <w:pPr>
        <w:spacing w:line="276" w:lineRule="auto"/>
        <w:rPr>
          <w:rFonts w:ascii="Arial" w:hAnsi="Arial" w:cs="Arial"/>
          <w:noProof/>
        </w:rPr>
      </w:pPr>
    </w:p>
    <w:p w14:paraId="414A6E10" w14:textId="1C2E7EFF" w:rsidR="007A6720" w:rsidRDefault="007A6720" w:rsidP="00BB3634">
      <w:pPr>
        <w:spacing w:line="276" w:lineRule="auto"/>
        <w:rPr>
          <w:rFonts w:ascii="Arial" w:hAnsi="Arial" w:cs="Arial"/>
          <w:noProof/>
        </w:rPr>
      </w:pPr>
    </w:p>
    <w:p w14:paraId="3ECAB2F6" w14:textId="6AF43BDF" w:rsidR="007A6720" w:rsidRDefault="007A6720" w:rsidP="00BB3634">
      <w:pPr>
        <w:spacing w:line="276" w:lineRule="auto"/>
        <w:rPr>
          <w:rFonts w:ascii="Arial" w:hAnsi="Arial" w:cs="Arial"/>
          <w:noProof/>
        </w:rPr>
      </w:pPr>
    </w:p>
    <w:p w14:paraId="36A9C4E6" w14:textId="4468F3D3" w:rsidR="007A6720" w:rsidRDefault="007A6720" w:rsidP="00BB3634">
      <w:pPr>
        <w:spacing w:line="276" w:lineRule="auto"/>
        <w:rPr>
          <w:rFonts w:ascii="Arial" w:hAnsi="Arial" w:cs="Arial"/>
          <w:noProof/>
        </w:rPr>
      </w:pPr>
    </w:p>
    <w:p w14:paraId="095EB681" w14:textId="3BB5D0BB" w:rsidR="007A6720" w:rsidRDefault="007A6720" w:rsidP="00BB3634">
      <w:pPr>
        <w:spacing w:line="276" w:lineRule="auto"/>
        <w:rPr>
          <w:rFonts w:ascii="Arial" w:hAnsi="Arial" w:cs="Arial"/>
          <w:noProof/>
        </w:rPr>
      </w:pPr>
    </w:p>
    <w:p w14:paraId="49156249" w14:textId="77777777" w:rsidR="007A6720" w:rsidRPr="00BB3634" w:rsidRDefault="007A6720" w:rsidP="00BB3634">
      <w:pPr>
        <w:spacing w:line="276" w:lineRule="auto"/>
        <w:rPr>
          <w:rFonts w:ascii="Arial" w:hAnsi="Arial" w:cs="Arial"/>
          <w:noProof/>
        </w:rPr>
      </w:pPr>
    </w:p>
    <w:p w14:paraId="5B7C718F" w14:textId="5240767C" w:rsidR="00D1030B" w:rsidRPr="00BB3634" w:rsidRDefault="009C2A75" w:rsidP="00BB3634">
      <w:pPr>
        <w:pStyle w:val="Heading1"/>
        <w:spacing w:line="276" w:lineRule="auto"/>
        <w:rPr>
          <w:sz w:val="24"/>
          <w:szCs w:val="24"/>
        </w:rPr>
      </w:pPr>
      <w:bookmarkStart w:id="4" w:name="_Toc94360092"/>
      <w:r w:rsidRPr="00BB3634">
        <w:rPr>
          <w:sz w:val="24"/>
          <w:szCs w:val="24"/>
        </w:rPr>
        <w:lastRenderedPageBreak/>
        <w:t>PRINCIPLES OF CHARTER INTERPRETATION</w:t>
      </w:r>
      <w:bookmarkEnd w:id="4"/>
    </w:p>
    <w:p w14:paraId="501D73F5" w14:textId="77777777" w:rsidR="00D1030B" w:rsidRPr="00BB3634" w:rsidRDefault="00D1030B" w:rsidP="00BB3634">
      <w:pPr>
        <w:spacing w:line="276" w:lineRule="auto"/>
        <w:rPr>
          <w:rFonts w:ascii="Arial" w:hAnsi="Arial" w:cs="Arial"/>
          <w:noProof/>
        </w:rPr>
      </w:pPr>
    </w:p>
    <w:p w14:paraId="14F66542" w14:textId="4193B671" w:rsidR="00D1030B" w:rsidRPr="00BB3634" w:rsidRDefault="00D1030B" w:rsidP="00BB3634">
      <w:pPr>
        <w:spacing w:line="276" w:lineRule="auto"/>
        <w:rPr>
          <w:rFonts w:ascii="Arial" w:hAnsi="Arial" w:cs="Arial"/>
          <w:noProof/>
        </w:rPr>
      </w:pPr>
    </w:p>
    <w:p w14:paraId="65323174" w14:textId="497FB28B" w:rsidR="0046024C" w:rsidRPr="00BB3634" w:rsidRDefault="0046024C" w:rsidP="000B18E5">
      <w:pPr>
        <w:pStyle w:val="NoSpacing"/>
      </w:pPr>
      <w:r w:rsidRPr="00BB3634">
        <w:t xml:space="preserve">While </w:t>
      </w:r>
      <w:hyperlink r:id="rId8" w:tgtFrame="_blank" w:history="1">
        <w:r w:rsidRPr="00BB3634">
          <w:rPr>
            <w:rStyle w:val="Hyperlink"/>
            <w:i/>
            <w:iCs w:val="0"/>
          </w:rPr>
          <w:t>Charter</w:t>
        </w:r>
        <w:r w:rsidRPr="00BB3634">
          <w:rPr>
            <w:rStyle w:val="decisia-reflex2-icon"/>
            <w:rFonts w:eastAsiaTheme="minorEastAsia"/>
            <w:i/>
            <w:iCs w:val="0"/>
            <w:color w:val="0000FF"/>
            <w:u w:val="single"/>
          </w:rPr>
          <w:t> </w:t>
        </w:r>
      </w:hyperlink>
      <w:r w:rsidRPr="00BB3634">
        <w:t> rights must be interpreted in a “large and liberal” manner, they are ultimately bounded by their purposes. Put differently, </w:t>
      </w:r>
      <w:hyperlink r:id="rId9" w:tgtFrame="_blank" w:history="1">
        <w:r w:rsidRPr="00BB3634">
          <w:rPr>
            <w:rStyle w:val="Hyperlink"/>
            <w:i/>
            <w:iCs w:val="0"/>
          </w:rPr>
          <w:t>Charter</w:t>
        </w:r>
        <w:r w:rsidRPr="00BB3634">
          <w:rPr>
            <w:rStyle w:val="decisia-reflex2-icon"/>
            <w:rFonts w:eastAsiaTheme="minorEastAsia"/>
            <w:i/>
            <w:iCs w:val="0"/>
            <w:color w:val="0000FF"/>
            <w:u w:val="single"/>
          </w:rPr>
          <w:t> </w:t>
        </w:r>
      </w:hyperlink>
      <w:r w:rsidRPr="00BB3634">
        <w:t> rights must be interpreted liberally within the limits that their purposes allow. It is an error to prioritize generosity over purpose. The most generous interpr</w:t>
      </w:r>
      <w:r w:rsidR="0029416C" w:rsidRPr="00BB3634">
        <w:t>et</w:t>
      </w:r>
      <w:r w:rsidRPr="00BB3634">
        <w:t>ation available to the accused must not automatically be adopted.  The principle that a provision bearing more than one plausible meaning must be read in a manner that favours the accused is not a principle of </w:t>
      </w:r>
      <w:hyperlink r:id="rId10" w:tgtFrame="_blank" w:history="1">
        <w:r w:rsidRPr="00BB3634">
          <w:rPr>
            <w:rStyle w:val="Hyperlink"/>
            <w:i/>
            <w:iCs w:val="0"/>
          </w:rPr>
          <w:t>Charter</w:t>
        </w:r>
        <w:r w:rsidRPr="00BB3634">
          <w:rPr>
            <w:rStyle w:val="decisia-reflex2-icon"/>
            <w:rFonts w:eastAsiaTheme="minorEastAsia"/>
            <w:i/>
            <w:iCs w:val="0"/>
            <w:color w:val="0000FF"/>
            <w:u w:val="single"/>
          </w:rPr>
          <w:t> </w:t>
        </w:r>
      </w:hyperlink>
      <w:r w:rsidRPr="00BB3634">
        <w:t xml:space="preserve"> interpretation: </w:t>
      </w:r>
      <w:r w:rsidRPr="00BB3634">
        <w:rPr>
          <w:i/>
        </w:rPr>
        <w:t xml:space="preserve">R v Poulin, </w:t>
      </w:r>
      <w:hyperlink r:id="rId11" w:history="1">
        <w:r w:rsidRPr="00BB3634">
          <w:rPr>
            <w:rStyle w:val="Hyperlink"/>
          </w:rPr>
          <w:t>2019 SCC 47</w:t>
        </w:r>
      </w:hyperlink>
    </w:p>
    <w:p w14:paraId="5ACAE58A" w14:textId="77777777" w:rsidR="0046024C" w:rsidRPr="00BB3634" w:rsidRDefault="0046024C" w:rsidP="00BB3634">
      <w:pPr>
        <w:spacing w:line="276" w:lineRule="auto"/>
        <w:rPr>
          <w:rFonts w:ascii="Arial" w:hAnsi="Arial" w:cs="Arial"/>
          <w:noProof/>
        </w:rPr>
      </w:pPr>
    </w:p>
    <w:p w14:paraId="6D35B134" w14:textId="3B4ADF8C" w:rsidR="00272510" w:rsidRPr="007D1F60" w:rsidRDefault="00272510" w:rsidP="000B18E5">
      <w:pPr>
        <w:pStyle w:val="NoSpacing"/>
        <w:rPr>
          <w:i/>
        </w:rPr>
      </w:pPr>
      <w:r>
        <w:t>In interpreting Charter rights, b</w:t>
      </w:r>
      <w:r w:rsidRPr="007D1F60">
        <w:t>inding international instruments carry more weight in the analysis than non</w:t>
      </w:r>
      <w:r w:rsidRPr="007D1F60">
        <w:noBreakHyphen/>
        <w:t>binding instruments, which should be treated as relevant and persuasive but not determinative interpretive tools, and courts drawing from the latter should be careful to explain why</w:t>
      </w:r>
      <w:r w:rsidRPr="007D1F60">
        <w:rPr>
          <w:i/>
        </w:rPr>
        <w:t> </w:t>
      </w:r>
      <w:r w:rsidRPr="007D1F60">
        <w:t>they are drawing on a particular source and how</w:t>
      </w:r>
      <w:r w:rsidRPr="007D1F60">
        <w:rPr>
          <w:i/>
        </w:rPr>
        <w:t> </w:t>
      </w:r>
      <w:r w:rsidRPr="007D1F60">
        <w:t>it is being used</w:t>
      </w:r>
      <w:r>
        <w:t xml:space="preserve">: </w:t>
      </w:r>
      <w:r>
        <w:rPr>
          <w:i/>
        </w:rPr>
        <w:t xml:space="preserve">Quebec v 9147-0732, </w:t>
      </w:r>
      <w:hyperlink r:id="rId12" w:history="1">
        <w:r w:rsidRPr="007D1F60">
          <w:rPr>
            <w:rStyle w:val="Hyperlink"/>
          </w:rPr>
          <w:t>2020 SCC 32</w:t>
        </w:r>
      </w:hyperlink>
      <w:r>
        <w:rPr>
          <w:i/>
        </w:rPr>
        <w:t xml:space="preserve"> </w:t>
      </w:r>
    </w:p>
    <w:p w14:paraId="64E00A83" w14:textId="77777777" w:rsidR="008747F6" w:rsidRPr="00BB3634" w:rsidRDefault="008747F6" w:rsidP="00BB3634">
      <w:pPr>
        <w:spacing w:line="276" w:lineRule="auto"/>
        <w:rPr>
          <w:rFonts w:ascii="Arial" w:hAnsi="Arial" w:cs="Arial"/>
          <w:noProof/>
        </w:rPr>
      </w:pPr>
    </w:p>
    <w:p w14:paraId="4DF6F59E" w14:textId="77777777" w:rsidR="008747F6" w:rsidRPr="00BB3634" w:rsidRDefault="008747F6" w:rsidP="00BB3634">
      <w:pPr>
        <w:spacing w:line="276" w:lineRule="auto"/>
        <w:rPr>
          <w:rFonts w:ascii="Arial" w:hAnsi="Arial" w:cs="Arial"/>
          <w:b/>
          <w:bCs/>
          <w:noProof/>
        </w:rPr>
      </w:pPr>
    </w:p>
    <w:p w14:paraId="7219A48C" w14:textId="0BD0B90F" w:rsidR="00BB7AB4" w:rsidRPr="00BB3634" w:rsidRDefault="009C2A75" w:rsidP="00BB3634">
      <w:pPr>
        <w:pStyle w:val="Heading1"/>
        <w:spacing w:line="276" w:lineRule="auto"/>
        <w:rPr>
          <w:sz w:val="24"/>
          <w:szCs w:val="24"/>
        </w:rPr>
      </w:pPr>
      <w:bookmarkStart w:id="5" w:name="_Toc94360093"/>
      <w:r w:rsidRPr="00BB3634">
        <w:rPr>
          <w:sz w:val="24"/>
          <w:szCs w:val="24"/>
        </w:rPr>
        <w:t>ONUS</w:t>
      </w:r>
      <w:bookmarkEnd w:id="5"/>
    </w:p>
    <w:p w14:paraId="1C98B51F" w14:textId="6E9CC0C6" w:rsidR="00BB7AB4" w:rsidRDefault="00BB7AB4" w:rsidP="000B18E5">
      <w:pPr>
        <w:pStyle w:val="NoSpacing"/>
      </w:pPr>
      <w:r w:rsidRPr="00BB3634">
        <w:t xml:space="preserve">The onus is on the applicant alleging the </w:t>
      </w:r>
      <w:r w:rsidRPr="00BB3634">
        <w:rPr>
          <w:i/>
        </w:rPr>
        <w:t xml:space="preserve">Charter </w:t>
      </w:r>
      <w:r w:rsidRPr="00BB3634">
        <w:t xml:space="preserve">claim to prove it on a balance of probabilities. Where, however, the Applicant also brings a s.8 claim against a warrantless search, which is presumed to be unreasonable, and the Crown seeks to rebut that presumption by claiming that the search was lawfully conducted incident to a detention or arrest, the Crown must show that the detention or arrest was lawful: </w:t>
      </w:r>
      <w:r w:rsidRPr="00BB3634">
        <w:rPr>
          <w:i/>
        </w:rPr>
        <w:t xml:space="preserve"> R v Fearon, </w:t>
      </w:r>
      <w:r w:rsidRPr="00BB3634">
        <w:t xml:space="preserve">2014 SCC 77, at para 87; </w:t>
      </w:r>
      <w:r w:rsidRPr="00BB3634">
        <w:rPr>
          <w:i/>
        </w:rPr>
        <w:t xml:space="preserve">R v Gerson-Foster, </w:t>
      </w:r>
      <w:hyperlink r:id="rId13" w:history="1">
        <w:r w:rsidRPr="00BB3634">
          <w:rPr>
            <w:rStyle w:val="Hyperlink"/>
          </w:rPr>
          <w:t>2019 ONCA 405,</w:t>
        </w:r>
      </w:hyperlink>
      <w:r w:rsidRPr="00BB3634">
        <w:t xml:space="preserve"> at para 75</w:t>
      </w:r>
    </w:p>
    <w:p w14:paraId="0E9C50A3" w14:textId="1DCE357D" w:rsidR="00D5622F" w:rsidRDefault="00D5622F" w:rsidP="000B18E5">
      <w:pPr>
        <w:pStyle w:val="NoSpacing"/>
      </w:pPr>
    </w:p>
    <w:p w14:paraId="0AE6BFB3" w14:textId="51C73F17" w:rsidR="00D5622F" w:rsidRDefault="00D5622F" w:rsidP="00D5622F">
      <w:pPr>
        <w:pStyle w:val="Heading1"/>
      </w:pPr>
      <w:bookmarkStart w:id="6" w:name="_Toc94360094"/>
      <w:r>
        <w:t>NOTICE</w:t>
      </w:r>
      <w:bookmarkEnd w:id="6"/>
    </w:p>
    <w:p w14:paraId="07FCF8A8" w14:textId="0EDBEF5E" w:rsidR="00CB3E71" w:rsidRDefault="00CB3E71" w:rsidP="000B18E5">
      <w:pPr>
        <w:pStyle w:val="NoSpacing"/>
      </w:pPr>
    </w:p>
    <w:p w14:paraId="66FC3AD8" w14:textId="4AB7858E" w:rsidR="00CB3E71" w:rsidRPr="00CB3E71" w:rsidRDefault="00CB3E71" w:rsidP="00CB3E71">
      <w:pPr>
        <w:pStyle w:val="NoSpacing"/>
      </w:pPr>
      <w:r>
        <w:t>I</w:t>
      </w:r>
      <w:r w:rsidRPr="00CB3E71">
        <w:t>t is generally incumbent upon an accused who alleges that evidence has been obtained by </w:t>
      </w:r>
      <w:r w:rsidRPr="00CB3E71">
        <w:rPr>
          <w:i/>
        </w:rPr>
        <w:t>Charter</w:t>
      </w:r>
      <w:r w:rsidRPr="00CB3E71">
        <w:t xml:space="preserve"> infringement to challenge its admissibility before it is tendered at trial. The usual practice in a jury trial is to do so by a pre-trial </w:t>
      </w:r>
      <w:r w:rsidRPr="00CB3E71">
        <w:lastRenderedPageBreak/>
        <w:t>application before the jury is selected. But the general rule permits of exceptions. The trial judge has a discretion, where the interests of justice warrant it, to permit the issue to be raised later, as for example, where evidence adduced at trial puts in issue the admissibility of evidence already give</w:t>
      </w:r>
      <w:r>
        <w:t xml:space="preserve">: </w:t>
      </w:r>
      <w:r>
        <w:rPr>
          <w:i/>
          <w:iCs w:val="0"/>
        </w:rPr>
        <w:t xml:space="preserve">R v MeGill, </w:t>
      </w:r>
      <w:hyperlink r:id="rId14" w:history="1">
        <w:r w:rsidRPr="00CB3E71">
          <w:rPr>
            <w:rStyle w:val="Hyperlink"/>
          </w:rPr>
          <w:t>2021 ONCA 253</w:t>
        </w:r>
      </w:hyperlink>
      <w:r>
        <w:t>, at para 136</w:t>
      </w:r>
    </w:p>
    <w:p w14:paraId="756A6A26" w14:textId="77777777" w:rsidR="00CB3E71" w:rsidRPr="00CB3E71" w:rsidRDefault="00CB3E71" w:rsidP="00CB3E71"/>
    <w:p w14:paraId="267AB4AE" w14:textId="77777777" w:rsidR="00CB3E71" w:rsidRDefault="00CB3E71" w:rsidP="000B18E5">
      <w:pPr>
        <w:pStyle w:val="NoSpacing"/>
      </w:pPr>
    </w:p>
    <w:p w14:paraId="63CC2647" w14:textId="4815D0ED" w:rsidR="00D5622F" w:rsidRDefault="00D5622F" w:rsidP="000B18E5">
      <w:pPr>
        <w:pStyle w:val="NoSpacing"/>
      </w:pPr>
      <w:r w:rsidRPr="00D5622F">
        <w:t>The purpose of notice is: (1) to alert the court to impending </w:t>
      </w:r>
      <w:r w:rsidRPr="00D5622F">
        <w:rPr>
          <w:i/>
        </w:rPr>
        <w:t>Charter </w:t>
      </w:r>
      <w:r w:rsidRPr="00D5622F">
        <w:t>challenges so that trial time can be accurately estimated and pretrial applications can be organized and conducted in a focused manner, and (2) to enable the Crown to identify the matters in issue so that the Crown can effectively prepare for the trial and answer the challenges made. Only explicit notice of </w:t>
      </w:r>
      <w:r w:rsidRPr="00D5622F">
        <w:rPr>
          <w:i/>
        </w:rPr>
        <w:t>Charter </w:t>
      </w:r>
      <w:r w:rsidRPr="00D5622F">
        <w:t>challenges can serve these dual objectives</w:t>
      </w:r>
      <w:r>
        <w:t>.</w:t>
      </w:r>
    </w:p>
    <w:p w14:paraId="29691AF0" w14:textId="12624C13" w:rsidR="00BB7AB4" w:rsidRDefault="00BB7AB4" w:rsidP="00BB3634">
      <w:pPr>
        <w:spacing w:line="276" w:lineRule="auto"/>
        <w:rPr>
          <w:rFonts w:ascii="Arial" w:hAnsi="Arial" w:cs="Arial"/>
        </w:rPr>
      </w:pPr>
    </w:p>
    <w:p w14:paraId="600D42C0" w14:textId="51F426F1" w:rsidR="00CB3E71" w:rsidRDefault="00CB3E71" w:rsidP="00CB3E71">
      <w:pPr>
        <w:pStyle w:val="Heading1"/>
      </w:pPr>
      <w:bookmarkStart w:id="7" w:name="_Toc94360095"/>
      <w:r>
        <w:t>SUMMARY DISMISSAL</w:t>
      </w:r>
      <w:bookmarkEnd w:id="7"/>
    </w:p>
    <w:p w14:paraId="339CF19E" w14:textId="77777777" w:rsidR="00CB3E71" w:rsidRDefault="00CB3E71" w:rsidP="00CB3E71">
      <w:pPr>
        <w:pStyle w:val="NoSpacing"/>
      </w:pPr>
    </w:p>
    <w:p w14:paraId="3683DC1C" w14:textId="3C5C14F6" w:rsidR="00CB3E71" w:rsidRDefault="00CB3E71" w:rsidP="00CB3E71">
      <w:pPr>
        <w:pStyle w:val="NoSpacing"/>
      </w:pPr>
      <w:r w:rsidRPr="00D5622F">
        <w:t>A trial judge is permitted, in the exercise of their trial management powers, to summarily dismiss </w:t>
      </w:r>
      <w:r w:rsidRPr="00D5622F">
        <w:rPr>
          <w:i/>
        </w:rPr>
        <w:t>Charter </w:t>
      </w:r>
      <w:r w:rsidRPr="00D5622F">
        <w:t xml:space="preserve">motions on </w:t>
      </w:r>
      <w:r>
        <w:t>the basis oof lack of notice</w:t>
      </w:r>
      <w:r w:rsidRPr="00D5622F">
        <w:t>. Absent special circumstances, trial judges</w:t>
      </w:r>
      <w:r>
        <w:t xml:space="preserve"> </w:t>
      </w:r>
      <w:r w:rsidRPr="00D5622F">
        <w:t>may decline to entertain a motion where no notice, or inadequate notice, of the motion has been given to the other side</w:t>
      </w:r>
      <w:r>
        <w:t>.</w:t>
      </w:r>
      <w:r w:rsidRPr="00D5622F">
        <w:t xml:space="preserve"> Similarly, trial judges may refuse to hear </w:t>
      </w:r>
      <w:r w:rsidRPr="00D5622F">
        <w:rPr>
          <w:i/>
        </w:rPr>
        <w:t>Charter </w:t>
      </w:r>
      <w:r w:rsidRPr="00D5622F">
        <w:t>motions that have no reasonable prospect of success or may terminate motions when it becomes evident that they are frivolous</w:t>
      </w:r>
      <w:r>
        <w:t>.</w:t>
      </w:r>
      <w:r w:rsidRPr="00D5622F">
        <w:t xml:space="preserve"> A decision by a trial judge to summarily dismiss a motion on either basis is ordinarily entitled to deference</w:t>
      </w:r>
      <w:r>
        <w:t>.</w:t>
      </w:r>
    </w:p>
    <w:p w14:paraId="7B9FF383" w14:textId="77777777" w:rsidR="00CB3E71" w:rsidRDefault="00CB3E71" w:rsidP="00CB3E71">
      <w:pPr>
        <w:pStyle w:val="NoSpacing"/>
      </w:pPr>
    </w:p>
    <w:p w14:paraId="424DE485" w14:textId="77777777" w:rsidR="00CB3E71" w:rsidRDefault="00CB3E71" w:rsidP="00CB3E71">
      <w:pPr>
        <w:pStyle w:val="NoSpacing"/>
      </w:pPr>
      <w:r w:rsidRPr="00D5622F">
        <w:t>Deference will not be due, however, if the trial judge conducted a hearing that was so unfair as to result in a miscarriage of justice. Just as a fair trial guarantees the accused “basic procedural fairness” so too does a fair </w:t>
      </w:r>
      <w:r w:rsidRPr="00D5622F">
        <w:rPr>
          <w:i/>
        </w:rPr>
        <w:t>Charter </w:t>
      </w:r>
      <w:r w:rsidRPr="00D5622F">
        <w:t xml:space="preserve">challenge. </w:t>
      </w:r>
    </w:p>
    <w:p w14:paraId="4144ACF1" w14:textId="77777777" w:rsidR="00CB3E71" w:rsidRDefault="00CB3E71" w:rsidP="00CB3E71">
      <w:pPr>
        <w:pStyle w:val="NoSpacing"/>
      </w:pPr>
    </w:p>
    <w:p w14:paraId="02AB5F3D" w14:textId="77777777" w:rsidR="00CB3E71" w:rsidRDefault="00CB3E71" w:rsidP="00CB3E71">
      <w:pPr>
        <w:pStyle w:val="NoSpacing"/>
      </w:pPr>
      <w:r w:rsidRPr="00D5622F">
        <w:t>One requirement of procedural fairness is that the accused must be given an opportunity to make submissions before summary dismissal occurs. Where a trial judge is considering summary dismissal without an evidentiary inquiry because a </w:t>
      </w:r>
      <w:r w:rsidRPr="00D5622F">
        <w:rPr>
          <w:i/>
        </w:rPr>
        <w:t>Charter </w:t>
      </w:r>
      <w:r w:rsidRPr="00D5622F">
        <w:t>claim appears to be meritless</w:t>
      </w:r>
      <w:r>
        <w:t xml:space="preserve"> or was made without notice</w:t>
      </w:r>
      <w:r w:rsidRPr="00D5622F">
        <w:t xml:space="preserve">, the trial judge should ensure that the defence is aware of this and is “able to summarize the anticipated evidentiary basis for its claim” so that the trial judge has the </w:t>
      </w:r>
      <w:r w:rsidRPr="00D5622F">
        <w:lastRenderedPageBreak/>
        <w:t>information required. This includes providing the accused with an opportunity to argue against summary dismissal.</w:t>
      </w:r>
    </w:p>
    <w:p w14:paraId="037157CB" w14:textId="77777777" w:rsidR="00CB3E71" w:rsidRDefault="00CB3E71" w:rsidP="00CB3E71">
      <w:pPr>
        <w:pStyle w:val="NoSpacing"/>
      </w:pPr>
    </w:p>
    <w:p w14:paraId="2E41B5CE" w14:textId="77777777" w:rsidR="00CB3E71" w:rsidRPr="00D5622F" w:rsidRDefault="00CB3E71" w:rsidP="00CB3E71">
      <w:pPr>
        <w:pStyle w:val="NoSpacing"/>
      </w:pPr>
      <w:r w:rsidRPr="00D5622F">
        <w:t>Before summarily dismissing a </w:t>
      </w:r>
      <w:r w:rsidRPr="00D5622F">
        <w:rPr>
          <w:i/>
        </w:rPr>
        <w:t>Charter </w:t>
      </w:r>
      <w:r w:rsidRPr="00D5622F">
        <w:t>claim because of non-compliance with the rules, trial judges are required to consider all relevant circumstances. This includes the </w:t>
      </w:r>
      <w:r w:rsidRPr="00D5622F">
        <w:rPr>
          <w:i/>
        </w:rPr>
        <w:t>Charter </w:t>
      </w:r>
      <w:r w:rsidRPr="00D5622F">
        <w:t>argument sought to be advanced, prejudice to the opposing party, and the impact that permitting the motion to proceed would have on the trial process. Explanations for non-compliance with the rules may also be of importance. </w:t>
      </w:r>
    </w:p>
    <w:p w14:paraId="29E86D01" w14:textId="77777777" w:rsidR="00CB3E71" w:rsidRDefault="00CB3E71" w:rsidP="00CB3E71">
      <w:pPr>
        <w:pStyle w:val="NoSpacing"/>
      </w:pPr>
    </w:p>
    <w:p w14:paraId="54AA8D66" w14:textId="77BCC9D5" w:rsidR="00CB3E71" w:rsidRPr="00CB3E71" w:rsidRDefault="00CB3E71" w:rsidP="00CB3E71">
      <w:pPr>
        <w:pStyle w:val="NoSpacing"/>
      </w:pPr>
      <w:r w:rsidRPr="00D5622F">
        <w:t>The second relevant requirement of procedural fairness is the trial judge’s obligation to explain why a </w:t>
      </w:r>
      <w:r w:rsidRPr="00D5622F">
        <w:rPr>
          <w:i/>
        </w:rPr>
        <w:t>Charter </w:t>
      </w:r>
      <w:r w:rsidRPr="00D5622F">
        <w:t>motion is being summarily dismissed, if that is the decision that is made. The sufficiency of reasons is a relevant consideration in determining whether procedural fairness has been achieved in the summary dismissal of a </w:t>
      </w:r>
      <w:r w:rsidRPr="00D5622F">
        <w:rPr>
          <w:i/>
        </w:rPr>
        <w:t>Charter </w:t>
      </w:r>
      <w:r w:rsidRPr="00D5622F">
        <w:t>motion</w:t>
      </w:r>
      <w:r>
        <w:t xml:space="preserve">: </w:t>
      </w:r>
      <w:r>
        <w:rPr>
          <w:i/>
        </w:rPr>
        <w:t xml:space="preserve">R v Grier, </w:t>
      </w:r>
      <w:hyperlink r:id="rId15" w:history="1">
        <w:r w:rsidRPr="00D5622F">
          <w:rPr>
            <w:rStyle w:val="Hyperlink"/>
          </w:rPr>
          <w:t>2020 ONCA 795</w:t>
        </w:r>
      </w:hyperlink>
      <w:r>
        <w:t xml:space="preserve">, at para 107-114; </w:t>
      </w:r>
      <w:r>
        <w:rPr>
          <w:i/>
          <w:iCs w:val="0"/>
        </w:rPr>
        <w:t xml:space="preserve">R v MeGill, </w:t>
      </w:r>
      <w:hyperlink r:id="rId16" w:history="1">
        <w:r w:rsidRPr="00CB3E71">
          <w:rPr>
            <w:rStyle w:val="Hyperlink"/>
          </w:rPr>
          <w:t>2021 ONCA 253,</w:t>
        </w:r>
      </w:hyperlink>
      <w:r>
        <w:t xml:space="preserve"> at paras 136-137</w:t>
      </w:r>
    </w:p>
    <w:p w14:paraId="2DFF75EF" w14:textId="77777777" w:rsidR="00CB3E71" w:rsidRPr="00D5622F" w:rsidRDefault="00CB3E71" w:rsidP="00CB3E71"/>
    <w:p w14:paraId="1E86DAC8" w14:textId="77777777" w:rsidR="00CB3E71" w:rsidRPr="00CB3E71" w:rsidRDefault="00CB3E71" w:rsidP="00CB3E71">
      <w:pPr>
        <w:rPr>
          <w:lang w:val="en-US"/>
        </w:rPr>
      </w:pPr>
    </w:p>
    <w:p w14:paraId="70A5A574" w14:textId="5CC1EAA5" w:rsidR="00BF14D7" w:rsidRPr="00BB3634" w:rsidRDefault="009C2A75" w:rsidP="00BB3634">
      <w:pPr>
        <w:pStyle w:val="Heading1"/>
        <w:spacing w:line="276" w:lineRule="auto"/>
        <w:rPr>
          <w:sz w:val="24"/>
          <w:szCs w:val="24"/>
        </w:rPr>
      </w:pPr>
      <w:bookmarkStart w:id="8" w:name="_Toc94360096"/>
      <w:r w:rsidRPr="00BB3634">
        <w:rPr>
          <w:sz w:val="24"/>
          <w:szCs w:val="24"/>
        </w:rPr>
        <w:t>SECTION 7</w:t>
      </w:r>
      <w:bookmarkEnd w:id="8"/>
    </w:p>
    <w:p w14:paraId="4F6CAA44" w14:textId="621CC740" w:rsidR="00BF14D7" w:rsidRPr="00BB3634" w:rsidRDefault="00BF14D7" w:rsidP="00BB3634">
      <w:pPr>
        <w:pStyle w:val="Heading2"/>
        <w:spacing w:line="276" w:lineRule="auto"/>
        <w:rPr>
          <w:rFonts w:cs="Arial"/>
        </w:rPr>
      </w:pPr>
      <w:bookmarkStart w:id="9" w:name="_Toc94360097"/>
      <w:r w:rsidRPr="00BB3634">
        <w:rPr>
          <w:rFonts w:cs="Arial"/>
        </w:rPr>
        <w:t>Right to Silence</w:t>
      </w:r>
      <w:bookmarkEnd w:id="9"/>
    </w:p>
    <w:p w14:paraId="7CFBF950" w14:textId="0F5A1E0A" w:rsidR="00BF14D7" w:rsidRPr="00BB3634" w:rsidRDefault="00BF14D7" w:rsidP="007A6720">
      <w:pPr>
        <w:pStyle w:val="Heading3"/>
      </w:pPr>
      <w:bookmarkStart w:id="10" w:name="_Toc94360098"/>
      <w:r w:rsidRPr="00BB3634">
        <w:t>General Principles</w:t>
      </w:r>
      <w:bookmarkEnd w:id="10"/>
    </w:p>
    <w:p w14:paraId="699871F6" w14:textId="7EFE2166" w:rsidR="00BF14D7" w:rsidRDefault="00BF14D7" w:rsidP="000B18E5">
      <w:pPr>
        <w:pStyle w:val="NoSpacing"/>
      </w:pPr>
      <w:r w:rsidRPr="00BB3634">
        <w:t>It is an error of law to draw an adverse inference against the accused's for his pre-trial silence: </w:t>
      </w:r>
      <w:r w:rsidRPr="00BB3634">
        <w:rPr>
          <w:i/>
        </w:rPr>
        <w:t>R v CG, </w:t>
      </w:r>
      <w:hyperlink r:id="rId17" w:tgtFrame="_blank" w:history="1">
        <w:r w:rsidRPr="00BB3634">
          <w:rPr>
            <w:rStyle w:val="Hyperlink"/>
            <w:color w:val="auto"/>
          </w:rPr>
          <w:t>2016 ONCA 316</w:t>
        </w:r>
      </w:hyperlink>
      <w:r w:rsidRPr="00BB3634">
        <w:t> at paras 6-7 </w:t>
      </w:r>
    </w:p>
    <w:p w14:paraId="765433D2" w14:textId="1755038A" w:rsidR="001B7927" w:rsidRDefault="001B7927" w:rsidP="000B18E5">
      <w:pPr>
        <w:pStyle w:val="NoSpacing"/>
      </w:pPr>
    </w:p>
    <w:p w14:paraId="33758F8A" w14:textId="10F28F7F" w:rsidR="001B7927" w:rsidRPr="001B7927" w:rsidRDefault="001B7927" w:rsidP="000B18E5">
      <w:pPr>
        <w:pStyle w:val="NoSpacing"/>
      </w:pPr>
      <w:r>
        <w:t xml:space="preserve">In fact, evidence of pre-trial silence or lack of cooperation is inadmissible and a jury must be instructed to not consider it at all: </w:t>
      </w:r>
      <w:r>
        <w:rPr>
          <w:i/>
        </w:rPr>
        <w:t xml:space="preserve">R v Chambers, </w:t>
      </w:r>
      <w:hyperlink r:id="rId18" w:history="1">
        <w:r w:rsidRPr="001B7927">
          <w:rPr>
            <w:rStyle w:val="Hyperlink"/>
          </w:rPr>
          <w:t>2021 ONCA 331</w:t>
        </w:r>
      </w:hyperlink>
      <w:r>
        <w:t>, at paras 12-15, 21</w:t>
      </w:r>
    </w:p>
    <w:p w14:paraId="2C46FEF8" w14:textId="77777777" w:rsidR="00F30FDF" w:rsidRPr="00BB3634" w:rsidRDefault="00F30FDF" w:rsidP="000B18E5">
      <w:pPr>
        <w:pStyle w:val="NoSpacing"/>
      </w:pPr>
    </w:p>
    <w:p w14:paraId="3743E0DB" w14:textId="194FDA8D" w:rsidR="00F30FDF" w:rsidRPr="00BB3634" w:rsidRDefault="00F30FDF" w:rsidP="000B18E5">
      <w:pPr>
        <w:pStyle w:val="NoSpacing"/>
      </w:pPr>
      <w:r w:rsidRPr="00BB3634">
        <w:t xml:space="preserve">That being said, once “uncontradicted evidence points to guilt beyond a reasonable doubt”, the accused’s silence will sometimes mean that he has failed to “provide any basis for concluding otherwise”: </w:t>
      </w:r>
      <w:r w:rsidRPr="00BB3634">
        <w:rPr>
          <w:i/>
        </w:rPr>
        <w:t xml:space="preserve">R v Bokhari, </w:t>
      </w:r>
      <w:hyperlink r:id="rId19" w:history="1">
        <w:r w:rsidRPr="00BB3634">
          <w:rPr>
            <w:rStyle w:val="Hyperlink"/>
          </w:rPr>
          <w:t>2018 ONCA 183</w:t>
        </w:r>
      </w:hyperlink>
      <w:r w:rsidRPr="00BB3634">
        <w:t xml:space="preserve"> at para 3</w:t>
      </w:r>
    </w:p>
    <w:p w14:paraId="1858ECF8" w14:textId="421607BA" w:rsidR="00BF14D7" w:rsidRPr="00BB3634" w:rsidRDefault="00BF14D7" w:rsidP="00BB3634">
      <w:pPr>
        <w:pStyle w:val="font7"/>
        <w:spacing w:before="0" w:beforeAutospacing="0" w:after="0" w:afterAutospacing="0" w:line="276" w:lineRule="auto"/>
        <w:jc w:val="both"/>
        <w:textAlignment w:val="baseline"/>
        <w:rPr>
          <w:rFonts w:ascii="Arial" w:hAnsi="Arial" w:cs="Arial"/>
          <w:sz w:val="24"/>
          <w:szCs w:val="24"/>
        </w:rPr>
      </w:pPr>
    </w:p>
    <w:p w14:paraId="2687B093" w14:textId="77777777" w:rsidR="00BF14D7" w:rsidRPr="00BB3634" w:rsidRDefault="00BF14D7" w:rsidP="000B18E5">
      <w:pPr>
        <w:pStyle w:val="NoSpacing"/>
        <w:rPr>
          <w:b/>
        </w:rPr>
      </w:pPr>
      <w:r w:rsidRPr="00BB3634">
        <w:lastRenderedPageBreak/>
        <w:t>An accused person is entitled to remain silent and to hear the Crown’s case before deciding whether to give evidence or how to respond. A suggestion that the accused is giving his story for the first time at trial amounts to an attack on his right to silence. </w:t>
      </w:r>
    </w:p>
    <w:p w14:paraId="3E8DC002" w14:textId="77777777" w:rsidR="00BF14D7" w:rsidRPr="00BB3634" w:rsidRDefault="00BF14D7" w:rsidP="000B18E5">
      <w:pPr>
        <w:pStyle w:val="NoSpacing"/>
      </w:pPr>
      <w:r w:rsidRPr="00BB3634">
        <w:t> </w:t>
      </w:r>
    </w:p>
    <w:p w14:paraId="6592B064" w14:textId="5A4FF922" w:rsidR="00131ECA" w:rsidRPr="00B226A2" w:rsidRDefault="00BF14D7" w:rsidP="000B18E5">
      <w:pPr>
        <w:pStyle w:val="NoSpacing"/>
      </w:pPr>
      <w:r w:rsidRPr="00BB3634">
        <w:t xml:space="preserve">Absent evidence of recent fabrication, a Crown cannot allege that an accused person has tailored his evidence after receiving Crown disclosure or after hearing the Crown’s evidence at the </w:t>
      </w:r>
      <w:r w:rsidR="00CD5A23" w:rsidRPr="00BB3634">
        <w:t>preliminary inquiry or at trial</w:t>
      </w:r>
      <w:r w:rsidRPr="00BB3634">
        <w:t>: </w:t>
      </w:r>
      <w:r w:rsidRPr="00BB3634">
        <w:rPr>
          <w:i/>
        </w:rPr>
        <w:t>R v John, </w:t>
      </w:r>
      <w:hyperlink r:id="rId20" w:tgtFrame="_blank" w:history="1">
        <w:r w:rsidRPr="00BB3634">
          <w:rPr>
            <w:rStyle w:val="Hyperlink"/>
            <w:color w:val="auto"/>
          </w:rPr>
          <w:t>2016 ONCA 615</w:t>
        </w:r>
      </w:hyperlink>
      <w:r w:rsidRPr="00BB3634">
        <w:t> at paras 60-61</w:t>
      </w:r>
      <w:r w:rsidR="00FE2845" w:rsidRPr="00BB3634">
        <w:t xml:space="preserve">; </w:t>
      </w:r>
      <w:r w:rsidR="00FE2845" w:rsidRPr="00BB3634">
        <w:rPr>
          <w:i/>
        </w:rPr>
        <w:t xml:space="preserve">R v SK, </w:t>
      </w:r>
      <w:hyperlink r:id="rId21" w:history="1">
        <w:r w:rsidR="00FE2845" w:rsidRPr="00BB3634">
          <w:rPr>
            <w:rStyle w:val="Hyperlink"/>
          </w:rPr>
          <w:t>2019 ONCA 776</w:t>
        </w:r>
      </w:hyperlink>
      <w:r w:rsidR="00FE2845" w:rsidRPr="00BB3634">
        <w:t>, at para 129 (see also concurring reasons of Trotter J.A., dissenting on this issue, at paras 149 and following)</w:t>
      </w:r>
      <w:r w:rsidR="00AD23FF" w:rsidRPr="00BB3634">
        <w:t xml:space="preserve">; </w:t>
      </w:r>
      <w:r w:rsidR="00AD23FF" w:rsidRPr="00BB3634">
        <w:rPr>
          <w:i/>
        </w:rPr>
        <w:t xml:space="preserve">R v Esquivel-Benitze, </w:t>
      </w:r>
      <w:hyperlink r:id="rId22" w:history="1">
        <w:r w:rsidR="00AD23FF" w:rsidRPr="00BB3634">
          <w:rPr>
            <w:rStyle w:val="Hyperlink"/>
          </w:rPr>
          <w:t>2020 ONCA 160,</w:t>
        </w:r>
      </w:hyperlink>
      <w:r w:rsidR="00AD23FF" w:rsidRPr="00BB3634">
        <w:t xml:space="preserve"> at paras 16-19; </w:t>
      </w:r>
      <w:r w:rsidR="00AD23FF" w:rsidRPr="00BB3634">
        <w:rPr>
          <w:i/>
        </w:rPr>
        <w:t xml:space="preserve">R v GV, </w:t>
      </w:r>
      <w:hyperlink r:id="rId23" w:history="1">
        <w:r w:rsidR="00AD23FF" w:rsidRPr="00BB3634">
          <w:rPr>
            <w:rStyle w:val="Hyperlink"/>
          </w:rPr>
          <w:t>2020 ONCA 291</w:t>
        </w:r>
      </w:hyperlink>
      <w:r w:rsidR="00AD23FF" w:rsidRPr="00BB3634">
        <w:t>, at paras 24-31</w:t>
      </w:r>
      <w:r w:rsidR="003E7142" w:rsidRPr="00BB3634">
        <w:t xml:space="preserve">; </w:t>
      </w:r>
      <w:r w:rsidR="003E7142" w:rsidRPr="00BB3634">
        <w:rPr>
          <w:i/>
        </w:rPr>
        <w:t xml:space="preserve">R v MD, </w:t>
      </w:r>
      <w:hyperlink r:id="rId24" w:history="1">
        <w:r w:rsidR="003E7142" w:rsidRPr="00BB3634">
          <w:rPr>
            <w:rStyle w:val="Hyperlink"/>
          </w:rPr>
          <w:t>2020 ONCA 290</w:t>
        </w:r>
      </w:hyperlink>
      <w:r w:rsidR="003E7142" w:rsidRPr="00BB3634">
        <w:t>, at paras 22-3</w:t>
      </w:r>
      <w:r w:rsidR="00EA1D04" w:rsidRPr="00BB3634">
        <w:t>1</w:t>
      </w:r>
      <w:r w:rsidR="00B226A2">
        <w:t xml:space="preserve">; </w:t>
      </w:r>
      <w:r w:rsidR="00B226A2">
        <w:rPr>
          <w:i/>
        </w:rPr>
        <w:t xml:space="preserve">R v BL, </w:t>
      </w:r>
      <w:hyperlink r:id="rId25" w:history="1">
        <w:r w:rsidR="00B226A2" w:rsidRPr="00B226A2">
          <w:rPr>
            <w:rStyle w:val="Hyperlink"/>
          </w:rPr>
          <w:t>2021 ONCA 378</w:t>
        </w:r>
      </w:hyperlink>
      <w:r w:rsidR="00B226A2">
        <w:t>, at paras 40-48</w:t>
      </w:r>
    </w:p>
    <w:p w14:paraId="66A779B3" w14:textId="7EC9973C" w:rsidR="00BF14D7" w:rsidRPr="00BB3634" w:rsidRDefault="00BF14D7" w:rsidP="000B18E5">
      <w:pPr>
        <w:pStyle w:val="NoSpacing"/>
        <w:rPr>
          <w:rStyle w:val="wixguard"/>
        </w:rPr>
      </w:pPr>
    </w:p>
    <w:p w14:paraId="5403D7C2" w14:textId="6DE5CC57" w:rsidR="00CD5A23" w:rsidRPr="00BB3634" w:rsidRDefault="00CD5A23" w:rsidP="000B18E5">
      <w:pPr>
        <w:pStyle w:val="NoSpacing"/>
      </w:pPr>
      <w:r w:rsidRPr="00BB3634">
        <w:t>A suggestion by Crown counsel that the accused is required to provide the police with information or otherwise be helpful to the police undermines his right to silence. An accused does not forfeit his constitutional right to silence because he chose to speak about some but not all of the details that he later testified to at trial. If such a suggestion is made, the trial judge must give a limiting instruct</w:t>
      </w:r>
      <w:r w:rsidR="00131ECA" w:rsidRPr="00BB3634">
        <w:t xml:space="preserve">ion; otherwise, the jury can be </w:t>
      </w:r>
      <w:r w:rsidRPr="00BB3634">
        <w:t>left with the impression that if the accused were an innocent person, he would have volunteered to the police at the first opportunity the exculpatory info</w:t>
      </w:r>
      <w:r w:rsidR="00131ECA" w:rsidRPr="00BB3634">
        <w:t xml:space="preserve">rmation he now offers at trial. The trial judge must address the real danger that a jury could make the leap from their disbelief of an accused’s exculpatory explanation to a finding of guilt based on that disbelief, especially if given for the first time at trial: </w:t>
      </w:r>
      <w:r w:rsidRPr="00BB3634">
        <w:rPr>
          <w:i/>
        </w:rPr>
        <w:t xml:space="preserve">R v JS, </w:t>
      </w:r>
      <w:hyperlink r:id="rId26" w:history="1">
        <w:r w:rsidRPr="00BB3634">
          <w:rPr>
            <w:rStyle w:val="Hyperlink"/>
          </w:rPr>
          <w:t>2018 ONCA 28</w:t>
        </w:r>
      </w:hyperlink>
      <w:r w:rsidRPr="00BB3634">
        <w:t xml:space="preserve"> at paras 50-51, 55,</w:t>
      </w:r>
      <w:r w:rsidR="00131ECA" w:rsidRPr="00BB3634">
        <w:t xml:space="preserve"> 63,</w:t>
      </w:r>
      <w:r w:rsidR="00F30FDF" w:rsidRPr="00BB3634">
        <w:t xml:space="preserve"> 64; </w:t>
      </w:r>
      <w:r w:rsidR="00F30FDF" w:rsidRPr="00BB3634">
        <w:rPr>
          <w:i/>
        </w:rPr>
        <w:t xml:space="preserve">R v Kiss, </w:t>
      </w:r>
      <w:hyperlink r:id="rId27" w:history="1">
        <w:r w:rsidR="00F30FDF" w:rsidRPr="00BB3634">
          <w:rPr>
            <w:rStyle w:val="Hyperlink"/>
          </w:rPr>
          <w:t>2018 ONCA 184</w:t>
        </w:r>
      </w:hyperlink>
      <w:r w:rsidR="00F30FDF" w:rsidRPr="00BB3634">
        <w:t xml:space="preserve"> at para 37</w:t>
      </w:r>
    </w:p>
    <w:p w14:paraId="04C702A4" w14:textId="77777777" w:rsidR="00CD5A23" w:rsidRPr="00BB3634" w:rsidRDefault="00CD5A23" w:rsidP="000B18E5">
      <w:pPr>
        <w:pStyle w:val="NoSpacing"/>
        <w:rPr>
          <w:rStyle w:val="wixguard"/>
        </w:rPr>
      </w:pPr>
    </w:p>
    <w:p w14:paraId="4258074C" w14:textId="12AD2074" w:rsidR="00F30FDF" w:rsidRPr="00BB3634" w:rsidRDefault="00F30FDF" w:rsidP="000B18E5">
      <w:pPr>
        <w:pStyle w:val="NoSpacing"/>
        <w:rPr>
          <w:i/>
        </w:rPr>
      </w:pPr>
      <w:r w:rsidRPr="00BB3634">
        <w:t xml:space="preserve">It is also wrong to use the fact that the accused remained silent, instead of offering an explanation to the authorities on a previous occasion, to reject an account offered by the accused for the first time at trial: </w:t>
      </w:r>
      <w:r w:rsidRPr="00BB3634">
        <w:rPr>
          <w:i/>
        </w:rPr>
        <w:t xml:space="preserve">R v Kiss, </w:t>
      </w:r>
      <w:hyperlink r:id="rId28" w:history="1">
        <w:r w:rsidRPr="00BB3634">
          <w:rPr>
            <w:rStyle w:val="Hyperlink"/>
          </w:rPr>
          <w:t>2018 ONCA 184</w:t>
        </w:r>
      </w:hyperlink>
      <w:r w:rsidRPr="00BB3634">
        <w:t xml:space="preserve"> at para 38-39</w:t>
      </w:r>
    </w:p>
    <w:p w14:paraId="23DD0584" w14:textId="77777777" w:rsidR="00F30FDF" w:rsidRPr="00BB3634" w:rsidRDefault="00F30FDF" w:rsidP="000B18E5">
      <w:pPr>
        <w:pStyle w:val="NoSpacing"/>
        <w:rPr>
          <w:rStyle w:val="wixguard"/>
        </w:rPr>
      </w:pPr>
    </w:p>
    <w:p w14:paraId="41F4B32D" w14:textId="6122E871" w:rsidR="00BF14D7" w:rsidRPr="00BB3634" w:rsidRDefault="00F30FDF" w:rsidP="000B18E5">
      <w:pPr>
        <w:pStyle w:val="NoSpacing"/>
      </w:pPr>
      <w:r w:rsidRPr="00BB3634">
        <w:t xml:space="preserve">In contrast, when the accused has given a prior voluntary statement, he has given up the right to silence. A trier of fact can rely on material inconsistencies between his prior statement and testimony; this includes material omissions from a prior statement. </w:t>
      </w:r>
      <w:r w:rsidR="00737A84" w:rsidRPr="00BB3634">
        <w:t>O</w:t>
      </w:r>
      <w:r w:rsidR="00D263A0" w:rsidRPr="00BB3634">
        <w:t>missions can be integral to the existence of material inconsistencies between two versions of events</w:t>
      </w:r>
      <w:r w:rsidR="00CD5A23" w:rsidRPr="00BB3634">
        <w:t xml:space="preserve">: </w:t>
      </w:r>
      <w:r w:rsidR="00CD5A23" w:rsidRPr="00BB3634">
        <w:rPr>
          <w:i/>
        </w:rPr>
        <w:t xml:space="preserve">R v Hill, </w:t>
      </w:r>
      <w:r w:rsidR="00CD5A23" w:rsidRPr="00BB3634">
        <w:t>2015 ONCA 616 at para 45</w:t>
      </w:r>
      <w:r w:rsidR="00B20070">
        <w:t xml:space="preserve">; </w:t>
      </w:r>
      <w:r w:rsidR="00B20070" w:rsidRPr="00BB3634">
        <w:rPr>
          <w:i/>
        </w:rPr>
        <w:t xml:space="preserve">R v Kiss, </w:t>
      </w:r>
      <w:hyperlink r:id="rId29" w:history="1">
        <w:r w:rsidR="00B20070" w:rsidRPr="00BB3634">
          <w:rPr>
            <w:rStyle w:val="Hyperlink"/>
          </w:rPr>
          <w:t>2018 ONCA 184</w:t>
        </w:r>
      </w:hyperlink>
      <w:r w:rsidR="00B20070" w:rsidRPr="00BB3634">
        <w:t xml:space="preserve"> at para</w:t>
      </w:r>
      <w:r w:rsidR="00B20070">
        <w:t xml:space="preserve"> 40</w:t>
      </w:r>
    </w:p>
    <w:p w14:paraId="2E45F73E" w14:textId="77777777" w:rsidR="00737A84" w:rsidRPr="00BB3634" w:rsidRDefault="00737A84" w:rsidP="000B18E5">
      <w:pPr>
        <w:pStyle w:val="NoSpacing"/>
      </w:pPr>
    </w:p>
    <w:p w14:paraId="49558DF5" w14:textId="0C34C997" w:rsidR="00737A84" w:rsidRPr="0077141E" w:rsidRDefault="00737A84" w:rsidP="000B18E5">
      <w:pPr>
        <w:pStyle w:val="NoSpacing"/>
      </w:pPr>
      <w:r w:rsidRPr="00BB3634">
        <w:lastRenderedPageBreak/>
        <w:t xml:space="preserve">However, the omissions from the pre-trial statement must be material enough to rely upon fairly. Further, the difference between the accused offering inconsistent versions on precisely the same topic and being selective about what topics are discussed must be respected. The former may count against the credibility of the accused’s testimony whereas the latter may not: </w:t>
      </w:r>
      <w:r w:rsidRPr="00BB3634">
        <w:rPr>
          <w:i/>
        </w:rPr>
        <w:t>R v Kiss</w:t>
      </w:r>
      <w:hyperlink r:id="rId30" w:history="1">
        <w:r w:rsidRPr="00BB3634">
          <w:rPr>
            <w:rStyle w:val="Hyperlink"/>
            <w:i/>
          </w:rPr>
          <w:t xml:space="preserve">, </w:t>
        </w:r>
        <w:r w:rsidRPr="00BB3634">
          <w:rPr>
            <w:rStyle w:val="Hyperlink"/>
          </w:rPr>
          <w:t>2018 ONCA 184</w:t>
        </w:r>
      </w:hyperlink>
      <w:r w:rsidRPr="00BB3634">
        <w:t xml:space="preserve"> at paras 47-48</w:t>
      </w:r>
      <w:r w:rsidR="0077141E">
        <w:t xml:space="preserve">; see also </w:t>
      </w:r>
      <w:r w:rsidR="0077141E">
        <w:rPr>
          <w:i/>
        </w:rPr>
        <w:t xml:space="preserve">R v Sagoo, </w:t>
      </w:r>
      <w:hyperlink r:id="rId31" w:history="1">
        <w:r w:rsidR="0077141E" w:rsidRPr="0077141E">
          <w:rPr>
            <w:rStyle w:val="Hyperlink"/>
          </w:rPr>
          <w:t>2020 ONCA 770</w:t>
        </w:r>
      </w:hyperlink>
      <w:r w:rsidR="0077141E">
        <w:t>, at para 18</w:t>
      </w:r>
    </w:p>
    <w:p w14:paraId="2039A2E0" w14:textId="77777777" w:rsidR="00CD5A23" w:rsidRPr="00BB3634" w:rsidRDefault="00CD5A23" w:rsidP="000B18E5">
      <w:pPr>
        <w:pStyle w:val="NoSpacing"/>
        <w:rPr>
          <w:rStyle w:val="wixguard"/>
          <w:b/>
        </w:rPr>
      </w:pPr>
    </w:p>
    <w:p w14:paraId="39190690" w14:textId="170B2F36" w:rsidR="00E34348" w:rsidRPr="00BB3634" w:rsidRDefault="00E34348" w:rsidP="000B18E5">
      <w:pPr>
        <w:pStyle w:val="NoSpacing"/>
      </w:pPr>
      <w:r w:rsidRPr="00BB3634">
        <w:t xml:space="preserve">While the Crown cannot rely on pre-trial silence as evidence of guilt, an co-accused can attack the credibility of another accused by referring to the other accused’s pre-trial silence: </w:t>
      </w:r>
      <w:r w:rsidRPr="00BB3634">
        <w:rPr>
          <w:i/>
        </w:rPr>
        <w:t xml:space="preserve">R v Zvolensky, </w:t>
      </w:r>
      <w:hyperlink r:id="rId32" w:anchor="_Toc474945413" w:history="1">
        <w:r w:rsidRPr="00BB3634">
          <w:rPr>
            <w:rStyle w:val="Hyperlink"/>
          </w:rPr>
          <w:t>2017 ONCA 273</w:t>
        </w:r>
      </w:hyperlink>
      <w:r w:rsidRPr="00BB3634">
        <w:t xml:space="preserve"> at para 157</w:t>
      </w:r>
    </w:p>
    <w:p w14:paraId="497BE05A" w14:textId="77777777" w:rsidR="002A072B" w:rsidRPr="00BB3634" w:rsidRDefault="002A072B" w:rsidP="000B18E5">
      <w:pPr>
        <w:pStyle w:val="NoSpacing"/>
      </w:pPr>
    </w:p>
    <w:p w14:paraId="23615436" w14:textId="266A88D5" w:rsidR="002A072B" w:rsidRPr="00BB3634" w:rsidRDefault="002A072B" w:rsidP="000B18E5">
      <w:pPr>
        <w:pStyle w:val="NoSpacing"/>
      </w:pPr>
      <w:r w:rsidRPr="00BB3634">
        <w:t>In considering the reasonableness of a verdict, an appellate court may infer from the appellant’s failure to testify, an inability to provide an innocent explanation: </w:t>
      </w:r>
      <w:r w:rsidRPr="00BB3634">
        <w:rPr>
          <w:i/>
        </w:rPr>
        <w:t xml:space="preserve">Tsekouras </w:t>
      </w:r>
      <w:r w:rsidRPr="00BB3634">
        <w:t>at para 227</w:t>
      </w:r>
      <w:r w:rsidR="00000175" w:rsidRPr="00BB3634">
        <w:t xml:space="preserve">; see also </w:t>
      </w:r>
      <w:r w:rsidR="00000175" w:rsidRPr="00BB3634">
        <w:rPr>
          <w:i/>
        </w:rPr>
        <w:t xml:space="preserve">R v George-Nurse, </w:t>
      </w:r>
      <w:hyperlink r:id="rId33" w:anchor="_ftnref2" w:history="1">
        <w:r w:rsidR="00000175" w:rsidRPr="00BB3634">
          <w:rPr>
            <w:rStyle w:val="Hyperlink"/>
          </w:rPr>
          <w:t>2018 ONCA 515</w:t>
        </w:r>
      </w:hyperlink>
      <w:r w:rsidR="00000175" w:rsidRPr="00BB3634">
        <w:t xml:space="preserve"> at paras 17, 18, and 33</w:t>
      </w:r>
    </w:p>
    <w:p w14:paraId="5077BD38" w14:textId="77777777" w:rsidR="00E34348" w:rsidRPr="00BB3634" w:rsidRDefault="00E34348" w:rsidP="00BB3634">
      <w:pPr>
        <w:pStyle w:val="font8"/>
        <w:spacing w:before="0" w:beforeAutospacing="0" w:after="0" w:afterAutospacing="0" w:line="276" w:lineRule="auto"/>
        <w:jc w:val="both"/>
        <w:textAlignment w:val="baseline"/>
        <w:rPr>
          <w:rFonts w:ascii="Arial" w:hAnsi="Arial" w:cs="Arial"/>
          <w:b/>
          <w:bCs/>
          <w:sz w:val="24"/>
          <w:szCs w:val="24"/>
        </w:rPr>
      </w:pPr>
    </w:p>
    <w:p w14:paraId="1E4F66EC" w14:textId="4B94ADAC" w:rsidR="00E97AF9" w:rsidRDefault="00E97AF9" w:rsidP="00BB3634">
      <w:pPr>
        <w:spacing w:line="276" w:lineRule="auto"/>
        <w:jc w:val="both"/>
        <w:rPr>
          <w:rStyle w:val="Hyperlink"/>
          <w:rFonts w:ascii="Arial" w:hAnsi="Arial" w:cs="Arial"/>
          <w:color w:val="auto"/>
          <w:u w:val="none"/>
        </w:rPr>
      </w:pPr>
      <w:r w:rsidRPr="00BB3634">
        <w:rPr>
          <w:rFonts w:ascii="Arial" w:hAnsi="Arial" w:cs="Arial"/>
        </w:rPr>
        <w:t>It is an error of law to suggest that an accused has scripted his/her evidence to the disclosure</w:t>
      </w:r>
      <w:r w:rsidR="007B0447" w:rsidRPr="00BB3634">
        <w:rPr>
          <w:rFonts w:ascii="Arial" w:hAnsi="Arial" w:cs="Arial"/>
        </w:rPr>
        <w:t xml:space="preserve">. </w:t>
      </w:r>
      <w:r w:rsidR="007B0447" w:rsidRPr="00BB3634">
        <w:rPr>
          <w:rFonts w:ascii="Arial" w:hAnsi="Arial" w:cs="Arial"/>
          <w:color w:val="000000"/>
        </w:rPr>
        <w:t>Permitting this would convert a constitutional right into a trap, and raise concerns about the right to silence</w:t>
      </w:r>
      <w:r w:rsidRPr="00BB3634">
        <w:rPr>
          <w:rFonts w:ascii="Arial" w:hAnsi="Arial" w:cs="Arial"/>
        </w:rPr>
        <w:t xml:space="preserve">: </w:t>
      </w:r>
      <w:r w:rsidRPr="00BB3634">
        <w:rPr>
          <w:rFonts w:ascii="Arial" w:hAnsi="Arial" w:cs="Arial"/>
          <w:i/>
        </w:rPr>
        <w:t>R v</w:t>
      </w:r>
      <w:r w:rsidR="007E0788" w:rsidRPr="00BB3634">
        <w:rPr>
          <w:rFonts w:ascii="Arial" w:hAnsi="Arial" w:cs="Arial"/>
          <w:i/>
        </w:rPr>
        <w:t xml:space="preserve"> Brown,</w:t>
      </w:r>
      <w:r w:rsidRPr="00BB3634">
        <w:rPr>
          <w:rFonts w:ascii="Arial" w:hAnsi="Arial" w:cs="Arial"/>
          <w:i/>
        </w:rPr>
        <w:t xml:space="preserve"> </w:t>
      </w:r>
      <w:hyperlink r:id="rId34" w:history="1">
        <w:r w:rsidRPr="00BB3634">
          <w:rPr>
            <w:rStyle w:val="Hyperlink"/>
            <w:rFonts w:ascii="Arial" w:hAnsi="Arial" w:cs="Arial"/>
          </w:rPr>
          <w:t>2018 ONCA 9</w:t>
        </w:r>
      </w:hyperlink>
      <w:r w:rsidR="00F80BB3">
        <w:rPr>
          <w:rStyle w:val="Hyperlink"/>
          <w:rFonts w:ascii="Arial" w:hAnsi="Arial" w:cs="Arial"/>
          <w:u w:val="none"/>
        </w:rPr>
        <w:t xml:space="preserve"> at para 14</w:t>
      </w:r>
      <w:r w:rsidR="007B0447" w:rsidRPr="00BB3634">
        <w:rPr>
          <w:rStyle w:val="Hyperlink"/>
          <w:rFonts w:ascii="Arial" w:hAnsi="Arial" w:cs="Arial"/>
          <w:color w:val="auto"/>
          <w:u w:val="none"/>
        </w:rPr>
        <w:t xml:space="preserve">; </w:t>
      </w:r>
      <w:r w:rsidR="007B0447" w:rsidRPr="00BB3634">
        <w:rPr>
          <w:rStyle w:val="Hyperlink"/>
          <w:rFonts w:ascii="Arial" w:hAnsi="Arial" w:cs="Arial"/>
          <w:i/>
          <w:color w:val="auto"/>
          <w:u w:val="none"/>
        </w:rPr>
        <w:t xml:space="preserve">R v Johnson-Lee, </w:t>
      </w:r>
      <w:hyperlink r:id="rId35" w:history="1">
        <w:r w:rsidR="007B0447" w:rsidRPr="00BB3634">
          <w:rPr>
            <w:rStyle w:val="Hyperlink"/>
            <w:rFonts w:ascii="Arial" w:hAnsi="Arial" w:cs="Arial"/>
          </w:rPr>
          <w:t>2018 ONCA 1012</w:t>
        </w:r>
      </w:hyperlink>
      <w:r w:rsidR="007B0447" w:rsidRPr="00BB3634">
        <w:rPr>
          <w:rStyle w:val="Hyperlink"/>
          <w:rFonts w:ascii="Arial" w:hAnsi="Arial" w:cs="Arial"/>
          <w:color w:val="auto"/>
          <w:u w:val="none"/>
        </w:rPr>
        <w:t>, at para 58</w:t>
      </w:r>
    </w:p>
    <w:p w14:paraId="21D76B17" w14:textId="60340F65" w:rsidR="00F80BB3" w:rsidRDefault="00F80BB3" w:rsidP="00BB3634">
      <w:pPr>
        <w:spacing w:line="276" w:lineRule="auto"/>
        <w:jc w:val="both"/>
        <w:rPr>
          <w:rStyle w:val="Hyperlink"/>
          <w:rFonts w:ascii="Arial" w:hAnsi="Arial" w:cs="Arial"/>
          <w:color w:val="auto"/>
          <w:u w:val="none"/>
        </w:rPr>
      </w:pPr>
    </w:p>
    <w:p w14:paraId="17BA69DD" w14:textId="32B497F3" w:rsidR="00F80BB3" w:rsidRPr="00F80BB3" w:rsidRDefault="00F80BB3" w:rsidP="00BB3634">
      <w:pPr>
        <w:spacing w:line="276" w:lineRule="auto"/>
        <w:jc w:val="both"/>
        <w:rPr>
          <w:rFonts w:ascii="Arial" w:hAnsi="Arial" w:cs="Arial"/>
        </w:rPr>
      </w:pPr>
      <w:r>
        <w:rPr>
          <w:rStyle w:val="Hyperlink"/>
          <w:rFonts w:ascii="Arial" w:hAnsi="Arial" w:cs="Arial"/>
          <w:color w:val="auto"/>
          <w:u w:val="none"/>
        </w:rPr>
        <w:t xml:space="preserve">It is similarly improper to allege that an accused has tailored his evidence to the evidence heard in court. This argument undermines the accused’s right to be present at his trial and to make full answer and defence: </w:t>
      </w:r>
      <w:r>
        <w:rPr>
          <w:rStyle w:val="Hyperlink"/>
          <w:rFonts w:ascii="Arial" w:hAnsi="Arial" w:cs="Arial"/>
          <w:i/>
          <w:iCs/>
          <w:color w:val="auto"/>
          <w:u w:val="none"/>
        </w:rPr>
        <w:t xml:space="preserve">R v BL, </w:t>
      </w:r>
      <w:hyperlink r:id="rId36" w:history="1">
        <w:r w:rsidRPr="00F80BB3">
          <w:rPr>
            <w:rStyle w:val="Hyperlink"/>
            <w:rFonts w:ascii="Arial" w:hAnsi="Arial" w:cs="Arial"/>
          </w:rPr>
          <w:t>2021 ONCA 373</w:t>
        </w:r>
      </w:hyperlink>
      <w:r>
        <w:rPr>
          <w:rStyle w:val="Hyperlink"/>
          <w:rFonts w:ascii="Arial" w:hAnsi="Arial" w:cs="Arial"/>
          <w:color w:val="auto"/>
          <w:u w:val="none"/>
        </w:rPr>
        <w:t>, at para</w:t>
      </w:r>
      <w:r w:rsidR="00D6427E">
        <w:rPr>
          <w:rStyle w:val="Hyperlink"/>
          <w:rFonts w:ascii="Arial" w:hAnsi="Arial" w:cs="Arial"/>
          <w:color w:val="auto"/>
          <w:u w:val="none"/>
        </w:rPr>
        <w:t>s</w:t>
      </w:r>
      <w:r>
        <w:rPr>
          <w:rStyle w:val="Hyperlink"/>
          <w:rFonts w:ascii="Arial" w:hAnsi="Arial" w:cs="Arial"/>
          <w:color w:val="auto"/>
          <w:u w:val="none"/>
        </w:rPr>
        <w:t xml:space="preserve"> 45</w:t>
      </w:r>
      <w:r w:rsidR="00D6427E">
        <w:rPr>
          <w:rStyle w:val="Hyperlink"/>
          <w:rFonts w:ascii="Arial" w:hAnsi="Arial" w:cs="Arial"/>
          <w:color w:val="auto"/>
          <w:u w:val="none"/>
        </w:rPr>
        <w:t>-50</w:t>
      </w:r>
    </w:p>
    <w:p w14:paraId="6C1EE8FF" w14:textId="38717E0D" w:rsidR="00E97AF9" w:rsidRPr="00BB3634" w:rsidRDefault="00E97AF9" w:rsidP="000B18E5">
      <w:pPr>
        <w:pStyle w:val="NoSpacing"/>
      </w:pPr>
    </w:p>
    <w:p w14:paraId="26F485F8" w14:textId="317ADE70" w:rsidR="00B554AD" w:rsidRPr="00BB3634" w:rsidRDefault="00B554AD" w:rsidP="000B18E5">
      <w:pPr>
        <w:pStyle w:val="NoSpacing"/>
      </w:pPr>
      <w:r w:rsidRPr="00BB3634">
        <w:t>However, questions relating to disclosure are not always prohibited. In </w:t>
      </w:r>
      <w:r w:rsidRPr="00BB3634">
        <w:rPr>
          <w:i/>
        </w:rPr>
        <w:t>R. v. White</w:t>
      </w:r>
      <w:r w:rsidRPr="00BB3634">
        <w:t> (1999), 42 O.R. (3d) 760 (C.A.), for example, the manner in which the accused testified raised the possibility that the jury would use phone records admitted into evidence as confirming his testimony. Cross-examination showing that the accused had access to those phone records through disclosure before testifying was therefore appropriate. No allegation of tailoring was being made. The cross-examination was designed to expose a source of knowl</w:t>
      </w:r>
      <w:r w:rsidR="004C5600" w:rsidRPr="00BB3634">
        <w:t xml:space="preserve">edge that had fallen into issue: </w:t>
      </w:r>
      <w:r w:rsidR="004C5600" w:rsidRPr="00BB3634">
        <w:rPr>
          <w:i/>
        </w:rPr>
        <w:t xml:space="preserve">Johnson-Lee </w:t>
      </w:r>
      <w:r w:rsidR="004C5600" w:rsidRPr="00BB3634">
        <w:t>at para 59</w:t>
      </w:r>
    </w:p>
    <w:p w14:paraId="487E441F" w14:textId="77777777" w:rsidR="00B554AD" w:rsidRPr="00BB3634" w:rsidRDefault="00B554AD" w:rsidP="00BB3634">
      <w:pPr>
        <w:pStyle w:val="font8"/>
        <w:spacing w:before="0" w:beforeAutospacing="0" w:after="0" w:afterAutospacing="0" w:line="276" w:lineRule="auto"/>
        <w:jc w:val="both"/>
        <w:textAlignment w:val="baseline"/>
        <w:rPr>
          <w:rFonts w:ascii="Arial" w:hAnsi="Arial" w:cs="Arial"/>
          <w:b/>
          <w:bCs/>
          <w:i/>
          <w:sz w:val="24"/>
          <w:szCs w:val="24"/>
        </w:rPr>
      </w:pPr>
    </w:p>
    <w:p w14:paraId="6B65D32B" w14:textId="2A130D96" w:rsidR="00DB1891" w:rsidRPr="00BB3634" w:rsidRDefault="00DB1891" w:rsidP="000B18E5">
      <w:pPr>
        <w:pStyle w:val="NoSpacing"/>
      </w:pPr>
      <w:r w:rsidRPr="00BB3634">
        <w:t>In some limited circumstances, a trier of fact may draw an adverse inference from the accused’s failure to call a witness. The adverse inference principle is “derived from ordinary logic and experience”. It is not intended to punish the accused for failing to call a witness</w:t>
      </w:r>
    </w:p>
    <w:p w14:paraId="5D6C9814" w14:textId="77777777" w:rsidR="00DB1891" w:rsidRPr="00BB3634" w:rsidRDefault="00DB1891" w:rsidP="000B18E5">
      <w:pPr>
        <w:pStyle w:val="NoSpacing"/>
      </w:pPr>
    </w:p>
    <w:p w14:paraId="3C63112E" w14:textId="30E636A1" w:rsidR="00DB1891" w:rsidRPr="00BB3634" w:rsidRDefault="00DB1891" w:rsidP="000B18E5">
      <w:pPr>
        <w:pStyle w:val="NoSpacing"/>
        <w:rPr>
          <w:i/>
        </w:rPr>
      </w:pPr>
      <w:r w:rsidRPr="00BB3634">
        <w:lastRenderedPageBreak/>
        <w:t xml:space="preserve">An adverse inference may only be drawn where there is no plausible reason for not calling the witness. Even where it is appropriate to draw an adverse inference, it should not be “given undue prominence and a comment should only be made where the witness is </w:t>
      </w:r>
      <w:r w:rsidR="00000175" w:rsidRPr="00BB3634">
        <w:t>of some importance in the case”.</w:t>
      </w:r>
    </w:p>
    <w:p w14:paraId="5027EF99" w14:textId="77777777" w:rsidR="00DB1891" w:rsidRPr="00BB3634" w:rsidRDefault="00DB1891" w:rsidP="000B18E5">
      <w:pPr>
        <w:pStyle w:val="NoSpacing"/>
      </w:pPr>
    </w:p>
    <w:p w14:paraId="3F96F597" w14:textId="4BB37A71" w:rsidR="00DB1891" w:rsidRPr="00BB3634" w:rsidRDefault="00DB1891" w:rsidP="000B18E5">
      <w:pPr>
        <w:pStyle w:val="NoSpacing"/>
      </w:pPr>
      <w:r w:rsidRPr="00BB3634">
        <w:t>Commenting upon the failure of the defence to call a witness runs the clear risk of reversing the burden of proof. As well, trial counsel will frequently make choices about not calling potential witnesses, the reasons for which are often entirely unrelated to the truth of any evidence a witness may give.  For instance, an honest person may have a poor demeanour, resulting in a strategic choice not to have the individual testify. Or, the evidentiary point to be made by a person may already have been adequately covered by others: </w:t>
      </w:r>
      <w:r w:rsidRPr="00BB3634">
        <w:rPr>
          <w:i/>
        </w:rPr>
        <w:t>Jolivet</w:t>
      </w:r>
      <w:r w:rsidRPr="00BB3634">
        <w:t>,</w:t>
      </w:r>
      <w:r w:rsidRPr="00BB3634">
        <w:rPr>
          <w:i/>
        </w:rPr>
        <w:t> </w:t>
      </w:r>
      <w:r w:rsidRPr="00BB3634">
        <w:t>at para. 28. Allowing an adverse inference to be taken from the failure to call a potential witness runs the risk of visiting strategic litigation choices upon the accused. Accordingly, an adverse inference should only be drawn with great caution</w:t>
      </w:r>
    </w:p>
    <w:p w14:paraId="3F6D0C46" w14:textId="77777777" w:rsidR="00DB1891" w:rsidRPr="00BB3634" w:rsidRDefault="00DB1891" w:rsidP="000B18E5">
      <w:pPr>
        <w:pStyle w:val="NoSpacing"/>
      </w:pPr>
    </w:p>
    <w:p w14:paraId="677D26D7" w14:textId="285D05E8" w:rsidR="00DB1891" w:rsidRPr="00BB3634" w:rsidRDefault="00DB1891" w:rsidP="000B18E5">
      <w:pPr>
        <w:pStyle w:val="NoSpacing"/>
      </w:pPr>
      <w:r w:rsidRPr="00BB3634">
        <w:t xml:space="preserve">Where comment is appropriate, the “only inference that can be drawn” is not one of guilt, but an inference that, had the witness testified, his or her evidence would have been unfavourable to the accused. This inference can impact on an assessment of the accused’s credibility. Cross-examination on the failure of the defence to call a witness will only be appropriate in those rare circumstances where this adverse inference is open to be drawn: </w:t>
      </w:r>
      <w:r w:rsidRPr="00BB3634">
        <w:rPr>
          <w:i/>
        </w:rPr>
        <w:t xml:space="preserve">R v Degraw, </w:t>
      </w:r>
      <w:hyperlink r:id="rId37" w:history="1">
        <w:r w:rsidRPr="00BB3634">
          <w:rPr>
            <w:rStyle w:val="Hyperlink"/>
          </w:rPr>
          <w:t>2018 ONCA 51</w:t>
        </w:r>
      </w:hyperlink>
      <w:r w:rsidRPr="00BB3634">
        <w:t xml:space="preserve"> at paras 30-32, 44</w:t>
      </w:r>
    </w:p>
    <w:p w14:paraId="27035C9C" w14:textId="77777777" w:rsidR="00DB1891" w:rsidRPr="00BB3634" w:rsidRDefault="00DB1891" w:rsidP="00BB3634">
      <w:pPr>
        <w:pStyle w:val="font8"/>
        <w:spacing w:before="0" w:beforeAutospacing="0" w:after="0" w:afterAutospacing="0" w:line="276" w:lineRule="auto"/>
        <w:jc w:val="both"/>
        <w:textAlignment w:val="baseline"/>
        <w:rPr>
          <w:rFonts w:ascii="Arial" w:hAnsi="Arial" w:cs="Arial"/>
          <w:b/>
          <w:bCs/>
          <w:i/>
          <w:sz w:val="24"/>
          <w:szCs w:val="24"/>
        </w:rPr>
      </w:pPr>
    </w:p>
    <w:p w14:paraId="569416EC" w14:textId="111E3B99" w:rsidR="00BF14D7" w:rsidRPr="00BB3634" w:rsidRDefault="00BF14D7" w:rsidP="00BB3634">
      <w:pPr>
        <w:pStyle w:val="Heading2"/>
        <w:spacing w:line="276" w:lineRule="auto"/>
        <w:rPr>
          <w:rFonts w:cs="Arial"/>
        </w:rPr>
      </w:pPr>
      <w:bookmarkStart w:id="11" w:name="_Toc94360099"/>
      <w:r w:rsidRPr="00BB3634">
        <w:rPr>
          <w:rFonts w:cs="Arial"/>
        </w:rPr>
        <w:t>Right to Disclosure</w:t>
      </w:r>
      <w:bookmarkEnd w:id="11"/>
    </w:p>
    <w:p w14:paraId="53D7D515" w14:textId="1A1675D3" w:rsidR="00C30C7E" w:rsidRPr="00BB3634" w:rsidRDefault="00C30C7E" w:rsidP="007A6720">
      <w:pPr>
        <w:pStyle w:val="Heading3"/>
        <w:numPr>
          <w:ilvl w:val="0"/>
          <w:numId w:val="46"/>
        </w:numPr>
      </w:pPr>
      <w:bookmarkStart w:id="12" w:name="_Toc94360100"/>
      <w:r w:rsidRPr="00BB3634">
        <w:t>General</w:t>
      </w:r>
      <w:bookmarkEnd w:id="12"/>
      <w:r w:rsidRPr="00BB3634">
        <w:t xml:space="preserve"> </w:t>
      </w:r>
    </w:p>
    <w:p w14:paraId="6BFBFF04" w14:textId="77777777" w:rsidR="00C30C7E" w:rsidRPr="00BB3634" w:rsidRDefault="00C30C7E" w:rsidP="000B18E5">
      <w:pPr>
        <w:pStyle w:val="NoSpacing"/>
      </w:pPr>
    </w:p>
    <w:p w14:paraId="0C714828" w14:textId="56212BA9" w:rsidR="00A50B73" w:rsidRPr="00BB3634" w:rsidRDefault="00A50B73" w:rsidP="000B18E5">
      <w:pPr>
        <w:pStyle w:val="NoSpacing"/>
      </w:pPr>
      <w:r w:rsidRPr="00BB3634">
        <w:t>For a review of first versus third party disclosure, see Chapter on General Principles of Law: Disclosure Regimes</w:t>
      </w:r>
    </w:p>
    <w:p w14:paraId="58237BF7" w14:textId="77777777" w:rsidR="00A50B73" w:rsidRPr="00BB3634" w:rsidRDefault="00A50B73" w:rsidP="000B18E5">
      <w:pPr>
        <w:pStyle w:val="NoSpacing"/>
      </w:pPr>
    </w:p>
    <w:p w14:paraId="0755F198" w14:textId="70E9E5D8" w:rsidR="00A50B73" w:rsidRPr="00BB3634" w:rsidRDefault="00C30C7E" w:rsidP="000B18E5">
      <w:pPr>
        <w:pStyle w:val="NoSpacing"/>
      </w:pPr>
      <w:r w:rsidRPr="00BB3634">
        <w:t>The ac</w:t>
      </w:r>
      <w:r w:rsidR="00A50B73" w:rsidRPr="00BB3634">
        <w:t>c</w:t>
      </w:r>
      <w:r w:rsidRPr="00BB3634">
        <w:t>used has a constitutional right to disclosure of all material that could reasonably be of use in making full answer and defence of the case against him/her as guaranteed by s. 7 of the </w:t>
      </w:r>
      <w:r w:rsidRPr="00BB3634">
        <w:rPr>
          <w:i/>
        </w:rPr>
        <w:t>Charter</w:t>
      </w:r>
      <w:r w:rsidRPr="00BB3634">
        <w:t xml:space="preserve">: </w:t>
      </w:r>
      <w:r w:rsidRPr="00BB3634">
        <w:rPr>
          <w:i/>
        </w:rPr>
        <w:t>R. v. Tossounian</w:t>
      </w:r>
      <w:r w:rsidRPr="00BB3634">
        <w:t>, 2017 ONCA 618 at para 15</w:t>
      </w:r>
    </w:p>
    <w:p w14:paraId="5D4698F7" w14:textId="77777777" w:rsidR="00C30C7E" w:rsidRPr="00BB3634" w:rsidRDefault="00C30C7E" w:rsidP="000B18E5">
      <w:pPr>
        <w:pStyle w:val="NoSpacing"/>
      </w:pPr>
    </w:p>
    <w:p w14:paraId="7D7970B6" w14:textId="2407E0C5" w:rsidR="00C30C7E" w:rsidRPr="00BB3634" w:rsidRDefault="00C30C7E" w:rsidP="000B18E5">
      <w:pPr>
        <w:pStyle w:val="NoSpacing"/>
      </w:pPr>
      <w:r w:rsidRPr="00BB3634">
        <w:t xml:space="preserve">Under </w:t>
      </w:r>
      <w:r w:rsidRPr="00BB3634">
        <w:rPr>
          <w:i/>
        </w:rPr>
        <w:t>Stinchcombe</w:t>
      </w:r>
      <w:r w:rsidRPr="00BB3634">
        <w:t xml:space="preserve">, the Crown will have to disclose material that it cannot put into evidence itself, but that the defence may use in cross examination. If the </w:t>
      </w:r>
      <w:r w:rsidRPr="00BB3634">
        <w:lastRenderedPageBreak/>
        <w:t xml:space="preserve">information is of some use then it is relevant and the determination as to whether it is sufficiently useful to put into evidence should be made by the defence and not by the prosecutor: </w:t>
      </w:r>
      <w:r w:rsidRPr="00BB3634">
        <w:rPr>
          <w:i/>
        </w:rPr>
        <w:t xml:space="preserve">R v Natsis, </w:t>
      </w:r>
      <w:hyperlink r:id="rId38" w:history="1">
        <w:r w:rsidRPr="00BB3634">
          <w:rPr>
            <w:rStyle w:val="Hyperlink"/>
          </w:rPr>
          <w:t>2018 ONCA 425</w:t>
        </w:r>
      </w:hyperlink>
      <w:r w:rsidRPr="00BB3634">
        <w:t xml:space="preserve"> at para 30; </w:t>
      </w:r>
    </w:p>
    <w:p w14:paraId="608707C8" w14:textId="77777777" w:rsidR="00C30C7E" w:rsidRPr="00BB3634" w:rsidRDefault="00C30C7E" w:rsidP="00BB3634">
      <w:pPr>
        <w:spacing w:line="276" w:lineRule="auto"/>
        <w:rPr>
          <w:rFonts w:ascii="Arial" w:hAnsi="Arial" w:cs="Arial"/>
        </w:rPr>
      </w:pPr>
    </w:p>
    <w:p w14:paraId="0A4033C7" w14:textId="77777777" w:rsidR="00BF14D7" w:rsidRPr="00BB3634" w:rsidRDefault="00BF14D7" w:rsidP="000B18E5">
      <w:pPr>
        <w:pStyle w:val="NoSpacing"/>
      </w:pPr>
      <w:r w:rsidRPr="00BB3634">
        <w:t>The “mere reasonable possibility” that discrepancies in a witnesses evidence contained within outstanding disclosure could have been used to impeach the credibility of witnesses “is all that is needed for it to be possible to hold that there was a reasonable possibility that the failure to disclose impaired the overall fairness of the trial:” </w:t>
      </w:r>
      <w:r w:rsidRPr="00BB3634">
        <w:rPr>
          <w:i/>
        </w:rPr>
        <w:t>R v Tossounian, </w:t>
      </w:r>
      <w:hyperlink r:id="rId39" w:tgtFrame="_blank" w:history="1">
        <w:r w:rsidRPr="00BB3634">
          <w:rPr>
            <w:rStyle w:val="Hyperlink"/>
            <w:color w:val="auto"/>
          </w:rPr>
          <w:t>2017 ONCA 618</w:t>
        </w:r>
      </w:hyperlink>
      <w:r w:rsidRPr="00BB3634">
        <w:t> at para 30 [citations ommitted]</w:t>
      </w:r>
    </w:p>
    <w:p w14:paraId="79F1BB5E" w14:textId="77777777" w:rsidR="00281222" w:rsidRPr="00BB3634" w:rsidRDefault="00281222" w:rsidP="000B18E5">
      <w:pPr>
        <w:pStyle w:val="NoSpacing"/>
      </w:pPr>
    </w:p>
    <w:p w14:paraId="622B78DB" w14:textId="5D849221" w:rsidR="00281222" w:rsidRPr="00BB3634" w:rsidRDefault="00281222" w:rsidP="000B18E5">
      <w:pPr>
        <w:pStyle w:val="NoSpacing"/>
      </w:pPr>
      <w:r w:rsidRPr="00BB3634">
        <w:t xml:space="preserve">911 calls fall under the rubric of </w:t>
      </w:r>
      <w:r w:rsidRPr="00BB3634">
        <w:rPr>
          <w:i/>
        </w:rPr>
        <w:t xml:space="preserve">Stinchcombe </w:t>
      </w:r>
      <w:r w:rsidRPr="00BB3634">
        <w:t>di</w:t>
      </w:r>
      <w:r w:rsidR="0035647F" w:rsidRPr="00BB3634">
        <w:t xml:space="preserve">sclosure: </w:t>
      </w:r>
      <w:r w:rsidR="0035647F" w:rsidRPr="00BB3634">
        <w:rPr>
          <w:i/>
        </w:rPr>
        <w:t xml:space="preserve">R v MGT, </w:t>
      </w:r>
      <w:hyperlink r:id="rId40" w:history="1">
        <w:r w:rsidR="0035647F" w:rsidRPr="00BB3634">
          <w:rPr>
            <w:rStyle w:val="Hyperlink"/>
          </w:rPr>
          <w:t>2017 ONCA 736</w:t>
        </w:r>
      </w:hyperlink>
      <w:r w:rsidR="0035647F" w:rsidRPr="00BB3634">
        <w:t xml:space="preserve"> at para 119</w:t>
      </w:r>
    </w:p>
    <w:p w14:paraId="4366E5A4" w14:textId="77777777" w:rsidR="0035647F" w:rsidRPr="00BB3634" w:rsidRDefault="0035647F" w:rsidP="000B18E5">
      <w:pPr>
        <w:pStyle w:val="NoSpacing"/>
      </w:pPr>
    </w:p>
    <w:p w14:paraId="2EA3EBEB" w14:textId="607FC883" w:rsidR="00291EC4" w:rsidRDefault="00291EC4" w:rsidP="007A6720">
      <w:pPr>
        <w:pStyle w:val="Heading3"/>
        <w:numPr>
          <w:ilvl w:val="0"/>
          <w:numId w:val="46"/>
        </w:numPr>
      </w:pPr>
      <w:bookmarkStart w:id="13" w:name="_Toc94360101"/>
      <w:r>
        <w:t>Crown’s Disclosure Obligation on Appeal</w:t>
      </w:r>
      <w:bookmarkEnd w:id="13"/>
    </w:p>
    <w:p w14:paraId="6C1A6530" w14:textId="77777777" w:rsidR="00291EC4" w:rsidRDefault="00291EC4" w:rsidP="000B18E5">
      <w:pPr>
        <w:pStyle w:val="NoSpacing"/>
      </w:pPr>
    </w:p>
    <w:p w14:paraId="11C37C96" w14:textId="69B4CBD0" w:rsidR="00291EC4" w:rsidRDefault="00291EC4" w:rsidP="000B18E5">
      <w:pPr>
        <w:pStyle w:val="NoSpacing"/>
      </w:pPr>
      <w:r>
        <w:t xml:space="preserve">The Crown's disclosure obligation on an appeal extends to any information in the possession of the Crown that there is a reasonable possibility may assist the accused in the prosecution of his appeal. To obtain disclosure or production in aid of a proposed fresh evidence motion, an applicant must establish two things: </w:t>
      </w:r>
    </w:p>
    <w:p w14:paraId="138F3DA4" w14:textId="57FBD39C" w:rsidR="00291EC4" w:rsidRDefault="00291EC4" w:rsidP="000B18E5">
      <w:pPr>
        <w:pStyle w:val="NoSpacing"/>
        <w:numPr>
          <w:ilvl w:val="0"/>
          <w:numId w:val="51"/>
        </w:numPr>
      </w:pPr>
      <w:r>
        <w:t>the applicant must first demonstrate a connection between the request for production and the fresh evidence he proposes to adduce by showing that there is a reasonable possibility that the material sought could assist on the motion to adduce fresh evidence, either by yielding material that will be admissible as fresh evidence or assisting the applicant in developing or obtaining material that will be admissible as fresh evidence; and</w:t>
      </w:r>
    </w:p>
    <w:p w14:paraId="0C15E1E2" w14:textId="6D8EE3CC" w:rsidR="00291EC4" w:rsidRDefault="00291EC4" w:rsidP="000B18E5">
      <w:pPr>
        <w:pStyle w:val="NoSpacing"/>
        <w:numPr>
          <w:ilvl w:val="0"/>
          <w:numId w:val="51"/>
        </w:numPr>
      </w:pPr>
      <w:r>
        <w:t>the applicant must next demonstrate that there is some reasonable possibility that the evidence to which the production request is linked may be received as fresh evidence on appeal.</w:t>
      </w:r>
    </w:p>
    <w:p w14:paraId="1DC60A10" w14:textId="77777777" w:rsidR="00291EC4" w:rsidRDefault="00291EC4" w:rsidP="000B18E5">
      <w:pPr>
        <w:pStyle w:val="NoSpacing"/>
      </w:pPr>
    </w:p>
    <w:p w14:paraId="26467788" w14:textId="792F7797" w:rsidR="00291EC4" w:rsidRPr="00291EC4" w:rsidRDefault="00291EC4" w:rsidP="000B18E5">
      <w:pPr>
        <w:pStyle w:val="NoSpacing"/>
      </w:pPr>
      <w:r>
        <w:t>W</w:t>
      </w:r>
      <w:r w:rsidRPr="00291EC4">
        <w:t>here the Crown denies the existence of material that the defence contends is relevant</w:t>
      </w:r>
      <w:bookmarkStart w:id="14" w:name="_Hlk51255607"/>
      <w:r>
        <w:t xml:space="preserve">, </w:t>
      </w:r>
      <w:r w:rsidRPr="00291EC4">
        <w:t>the defence must establish a basis which could enable the presiding judge to conclude that there is in existence further material which is potentially relevant</w:t>
      </w:r>
      <w:bookmarkEnd w:id="14"/>
      <w:r w:rsidRPr="00291EC4">
        <w:t>. To establish a basis, the defence may lead or point to evidence or, in some cases, rely on the oral submissions of counsel</w:t>
      </w:r>
      <w:r>
        <w:t xml:space="preserve">: </w:t>
      </w:r>
      <w:r w:rsidRPr="00291EC4">
        <w:rPr>
          <w:i/>
        </w:rPr>
        <w:t>R v</w:t>
      </w:r>
      <w:r>
        <w:t xml:space="preserve"> </w:t>
      </w:r>
      <w:r>
        <w:rPr>
          <w:i/>
        </w:rPr>
        <w:t xml:space="preserve">Ivezic, </w:t>
      </w:r>
      <w:hyperlink r:id="rId41" w:history="1">
        <w:r w:rsidRPr="00291EC4">
          <w:rPr>
            <w:rStyle w:val="Hyperlink"/>
          </w:rPr>
          <w:t>2020 ONCA 621</w:t>
        </w:r>
      </w:hyperlink>
      <w:r>
        <w:t>, at paras 8-9</w:t>
      </w:r>
    </w:p>
    <w:p w14:paraId="213C2E4C" w14:textId="77777777" w:rsidR="00291EC4" w:rsidRPr="00291EC4" w:rsidRDefault="00291EC4" w:rsidP="00291EC4">
      <w:pPr>
        <w:rPr>
          <w:lang w:val="en-US"/>
        </w:rPr>
      </w:pPr>
    </w:p>
    <w:p w14:paraId="38FB3FD8" w14:textId="76225114" w:rsidR="00281222" w:rsidRPr="00BB3634" w:rsidRDefault="00281222" w:rsidP="007A6720">
      <w:pPr>
        <w:pStyle w:val="Heading3"/>
        <w:numPr>
          <w:ilvl w:val="0"/>
          <w:numId w:val="46"/>
        </w:numPr>
      </w:pPr>
      <w:bookmarkStart w:id="15" w:name="_Toc94360102"/>
      <w:r w:rsidRPr="00BB3634">
        <w:lastRenderedPageBreak/>
        <w:t xml:space="preserve">Establishing a </w:t>
      </w:r>
      <w:r w:rsidR="00D23AF9" w:rsidRPr="00BB3634">
        <w:t>B</w:t>
      </w:r>
      <w:r w:rsidRPr="00BB3634">
        <w:t>reach of the</w:t>
      </w:r>
      <w:r w:rsidR="00D23AF9" w:rsidRPr="00BB3634">
        <w:t xml:space="preserve"> R</w:t>
      </w:r>
      <w:r w:rsidRPr="00BB3634">
        <w:t xml:space="preserve">ight to </w:t>
      </w:r>
      <w:r w:rsidR="00D23AF9" w:rsidRPr="00BB3634">
        <w:t>D</w:t>
      </w:r>
      <w:r w:rsidRPr="00BB3634">
        <w:t xml:space="preserve">isclosure at </w:t>
      </w:r>
      <w:r w:rsidR="00D23AF9" w:rsidRPr="00BB3634">
        <w:t>T</w:t>
      </w:r>
      <w:r w:rsidRPr="00BB3634">
        <w:t xml:space="preserve">rial or </w:t>
      </w:r>
      <w:r w:rsidR="00D23AF9" w:rsidRPr="00BB3634">
        <w:t>A</w:t>
      </w:r>
      <w:r w:rsidRPr="00BB3634">
        <w:t>ppeal</w:t>
      </w:r>
      <w:bookmarkEnd w:id="15"/>
    </w:p>
    <w:p w14:paraId="38C85994" w14:textId="4389266C" w:rsidR="00281222" w:rsidRPr="00BB3634" w:rsidRDefault="00281222" w:rsidP="000B18E5">
      <w:pPr>
        <w:pStyle w:val="NoSpacing"/>
      </w:pPr>
      <w:r w:rsidRPr="00BB3634">
        <w:t>Where evidence proposed for admission on appeal has to do with information that was not disclosed prior to trial, an appellant must first establish that the undisclosed information meets the </w:t>
      </w:r>
      <w:r w:rsidRPr="00BB3634">
        <w:rPr>
          <w:i/>
        </w:rPr>
        <w:t>Stinchcombe </w:t>
      </w:r>
      <w:r w:rsidRPr="00BB3634">
        <w:t>standard and thus amounts to a breach of the appellant’s constitutional right to disclosure.</w:t>
      </w:r>
    </w:p>
    <w:p w14:paraId="0BEDF97F" w14:textId="77777777" w:rsidR="00281222" w:rsidRPr="00BB3634" w:rsidRDefault="00281222" w:rsidP="000B18E5">
      <w:pPr>
        <w:pStyle w:val="NoSpacing"/>
      </w:pPr>
    </w:p>
    <w:p w14:paraId="79214B71" w14:textId="662A6003" w:rsidR="00281222" w:rsidRPr="00BB3634" w:rsidRDefault="00281222" w:rsidP="000B18E5">
      <w:pPr>
        <w:pStyle w:val="NoSpacing"/>
      </w:pPr>
      <w:r w:rsidRPr="00BB3634">
        <w:t>Provided the undisclosed information satisfies the </w:t>
      </w:r>
      <w:r w:rsidRPr="00BB3634">
        <w:rPr>
          <w:i/>
        </w:rPr>
        <w:t>Stinchcombe </w:t>
      </w:r>
      <w:r w:rsidRPr="00BB3634">
        <w:t>threshold, thus the failure to disclose it establishes a breach of the appellant’s constitutional right to disclosure, the accused must next establish, on a balance of probabilities, that the disclosure failure impaired the accused’s right to make full answer and defence.</w:t>
      </w:r>
    </w:p>
    <w:p w14:paraId="7F93DA4B" w14:textId="77777777" w:rsidR="00281222" w:rsidRPr="00BB3634" w:rsidRDefault="00281222" w:rsidP="000B18E5">
      <w:pPr>
        <w:pStyle w:val="NoSpacing"/>
      </w:pPr>
    </w:p>
    <w:p w14:paraId="0D583599" w14:textId="0A949F90" w:rsidR="00281222" w:rsidRPr="00BB3634" w:rsidRDefault="00281222" w:rsidP="000B18E5">
      <w:pPr>
        <w:pStyle w:val="NoSpacing"/>
      </w:pPr>
      <w:r w:rsidRPr="00BB3634">
        <w:t xml:space="preserve">To establish on a balance of probabilities that the failure to disclose impaired their right to make full answer and defence, an accused must demonstrate that there is a reasonable possibility the non-disclosure affected the outcome at trial </w:t>
      </w:r>
      <w:r w:rsidRPr="00BB3634">
        <w:rPr>
          <w:u w:val="single"/>
        </w:rPr>
        <w:t>or</w:t>
      </w:r>
      <w:r w:rsidRPr="00BB3634">
        <w:t xml:space="preserve"> the overall fairness of the trial process.</w:t>
      </w:r>
    </w:p>
    <w:p w14:paraId="02B23B2B" w14:textId="77777777" w:rsidR="00281222" w:rsidRPr="00BB3634" w:rsidRDefault="00281222" w:rsidP="000B18E5">
      <w:pPr>
        <w:pStyle w:val="NoSpacing"/>
      </w:pPr>
    </w:p>
    <w:p w14:paraId="0C0CF8B1" w14:textId="6C0C5ADA" w:rsidR="00281222" w:rsidRPr="00BB3634" w:rsidRDefault="00281222" w:rsidP="000B18E5">
      <w:pPr>
        <w:pStyle w:val="NoSpacing"/>
      </w:pPr>
      <w:r w:rsidRPr="00BB3634">
        <w:t>To appraise the impact of the disclosure failure on the reliability of the trial result, an appellate court must consider whether there is a reasonable possibility that the undisclosed evidence, when considered in the context of the trial as a whole, could have had an impact on the verdict rendered</w:t>
      </w:r>
      <w:r w:rsidR="00FB6F0C" w:rsidRPr="00BB3634">
        <w:t xml:space="preserve"> or the overall fairness of the trial process</w:t>
      </w:r>
      <w:r w:rsidRPr="00BB3634">
        <w:t>.</w:t>
      </w:r>
    </w:p>
    <w:p w14:paraId="5D820A0A" w14:textId="77777777" w:rsidR="00F174B8" w:rsidRPr="00BB3634" w:rsidRDefault="00F174B8" w:rsidP="000B18E5">
      <w:pPr>
        <w:pStyle w:val="NoSpacing"/>
      </w:pPr>
    </w:p>
    <w:p w14:paraId="6732FBCD" w14:textId="21D0ACCD" w:rsidR="00F174B8" w:rsidRPr="00BB3634" w:rsidRDefault="00F174B8" w:rsidP="000B18E5">
      <w:pPr>
        <w:pStyle w:val="NoSpacing"/>
      </w:pPr>
      <w:r w:rsidRPr="00BB3634">
        <w:t xml:space="preserve">If, on its face, the undisclosed information affects the reliability of the conviction, the appellate court should order a new trial. </w:t>
      </w:r>
    </w:p>
    <w:p w14:paraId="398FA9C5" w14:textId="77777777" w:rsidR="00281222" w:rsidRPr="00BB3634" w:rsidRDefault="00281222" w:rsidP="000B18E5">
      <w:pPr>
        <w:pStyle w:val="NoSpacing"/>
      </w:pPr>
    </w:p>
    <w:p w14:paraId="3454E157" w14:textId="73238F63" w:rsidR="00281222" w:rsidRPr="00BB3634" w:rsidRDefault="00F174B8" w:rsidP="000B18E5">
      <w:pPr>
        <w:pStyle w:val="NoSpacing"/>
      </w:pPr>
      <w:r w:rsidRPr="00BB3634">
        <w:t xml:space="preserve">If the undisclosed material did not impact the reliability of the trial result, the court must alternatively assess the </w:t>
      </w:r>
      <w:r w:rsidR="00281222" w:rsidRPr="00BB3634">
        <w:t>impact of the disclosure failure on the overall fairness of the trial process</w:t>
      </w:r>
      <w:r w:rsidRPr="00BB3634">
        <w:t>, This inquiry evaluates whether there is a reasonable possibility that cross-examination of</w:t>
      </w:r>
      <w:r w:rsidR="00281222" w:rsidRPr="00BB3634">
        <w:t xml:space="preserve"> witnesses or the opportunities to garner additional evidence could have been available to the defence if timely disclosure had been made.</w:t>
      </w:r>
      <w:r w:rsidR="00FB6F0C" w:rsidRPr="00BB3634">
        <w:t xml:space="preserve"> In other word, the appellate court must consider whether the </w:t>
      </w:r>
      <w:r w:rsidR="003E7484" w:rsidRPr="00BB3634">
        <w:t xml:space="preserve">disclosure failure would have had an impact on the conduct of the defence at trial. </w:t>
      </w:r>
    </w:p>
    <w:p w14:paraId="68AD4410" w14:textId="37559B5A" w:rsidR="00281222" w:rsidRPr="00BB3634" w:rsidRDefault="00281222" w:rsidP="000B18E5">
      <w:pPr>
        <w:pStyle w:val="NoSpacing"/>
      </w:pPr>
      <w:r w:rsidRPr="00BB3634">
        <w:t> </w:t>
      </w:r>
    </w:p>
    <w:p w14:paraId="43C4A84A" w14:textId="382484ED" w:rsidR="00C30C7E" w:rsidRPr="00BB3634" w:rsidRDefault="00281222" w:rsidP="000B18E5">
      <w:pPr>
        <w:pStyle w:val="NoSpacing"/>
      </w:pPr>
      <w:r w:rsidRPr="00BB3634">
        <w:t xml:space="preserve">An important factor in considering the impact of a disclosure failure on the overall fairness of the trial process is the diligence of defence counsel in pursuing disclosure from the Crown. A lack of due diligence in pursuing disclosure is a significant factor in determining whether the Crown’s non-disclosure affected the </w:t>
      </w:r>
      <w:r w:rsidRPr="00BB3634">
        <w:lastRenderedPageBreak/>
        <w:t>overall fairness of the trial process. Indeed, where defence counsel knew or ought to have known of a disclosure failure or deficiency on the basis of other disclosures, yet remained passive as a result of a tactical decision or lack of due diligence, it is difficult to accede to a submission that the disclosure default affected the overall fairness of the trial: </w:t>
      </w:r>
      <w:r w:rsidRPr="00BB3634">
        <w:rPr>
          <w:i/>
        </w:rPr>
        <w:t xml:space="preserve">R v MGT, </w:t>
      </w:r>
      <w:hyperlink r:id="rId42" w:history="1">
        <w:r w:rsidRPr="00BB3634">
          <w:rPr>
            <w:rStyle w:val="Hyperlink"/>
          </w:rPr>
          <w:t>2017 ONCA 736</w:t>
        </w:r>
      </w:hyperlink>
      <w:r w:rsidRPr="00BB3634">
        <w:t xml:space="preserve"> at paras 120-125</w:t>
      </w:r>
      <w:r w:rsidR="00C30C7E" w:rsidRPr="00BB3634">
        <w:t>;  </w:t>
      </w:r>
      <w:r w:rsidR="00C30C7E" w:rsidRPr="00BB3634">
        <w:rPr>
          <w:i/>
        </w:rPr>
        <w:t>R. v. Tossounian</w:t>
      </w:r>
      <w:r w:rsidR="00C30C7E" w:rsidRPr="00BB3634">
        <w:t xml:space="preserve">, 2017 ONCA 618 at para 15; </w:t>
      </w:r>
      <w:r w:rsidR="00C30C7E" w:rsidRPr="00BB3634">
        <w:rPr>
          <w:i/>
        </w:rPr>
        <w:t xml:space="preserve">R v Natsis, </w:t>
      </w:r>
      <w:hyperlink r:id="rId43" w:history="1">
        <w:r w:rsidR="00C30C7E" w:rsidRPr="00BB3634">
          <w:rPr>
            <w:rStyle w:val="Hyperlink"/>
          </w:rPr>
          <w:t>2018 ONCA 425</w:t>
        </w:r>
      </w:hyperlink>
      <w:r w:rsidR="00C30C7E" w:rsidRPr="00BB3634">
        <w:t xml:space="preserve"> at para 33</w:t>
      </w:r>
      <w:r w:rsidR="003E7484" w:rsidRPr="00BB3634">
        <w:t xml:space="preserve">; </w:t>
      </w:r>
      <w:r w:rsidR="003E7484" w:rsidRPr="00BB3634">
        <w:rPr>
          <w:i/>
        </w:rPr>
        <w:t xml:space="preserve">R v Jiang, </w:t>
      </w:r>
      <w:hyperlink r:id="rId44" w:history="1">
        <w:r w:rsidR="003E7484" w:rsidRPr="00BB3634">
          <w:rPr>
            <w:rStyle w:val="Hyperlink"/>
          </w:rPr>
          <w:t>2018 ONCA 1081</w:t>
        </w:r>
      </w:hyperlink>
      <w:r w:rsidR="003E7484" w:rsidRPr="00BB3634">
        <w:t>, at para 4; see also paras 16-19</w:t>
      </w:r>
      <w:r w:rsidR="00662185" w:rsidRPr="00BB3634">
        <w:t xml:space="preserve">; </w:t>
      </w:r>
      <w:r w:rsidR="00662185" w:rsidRPr="00BB3634">
        <w:rPr>
          <w:i/>
        </w:rPr>
        <w:t xml:space="preserve">R v Gager, </w:t>
      </w:r>
      <w:hyperlink r:id="rId45" w:history="1">
        <w:r w:rsidR="00662185" w:rsidRPr="00BB3634">
          <w:rPr>
            <w:rStyle w:val="Hyperlink"/>
          </w:rPr>
          <w:t>2020 ONCA 274</w:t>
        </w:r>
      </w:hyperlink>
      <w:r w:rsidR="00662185" w:rsidRPr="00BB3634">
        <w:t>, at paras 106-107</w:t>
      </w:r>
      <w:r w:rsidR="00F174B8" w:rsidRPr="00BB3634">
        <w:t xml:space="preserve">; </w:t>
      </w:r>
      <w:r w:rsidR="00F174B8" w:rsidRPr="00BB3634">
        <w:rPr>
          <w:i/>
        </w:rPr>
        <w:t xml:space="preserve">R v Pascal, </w:t>
      </w:r>
      <w:hyperlink r:id="rId46" w:anchor="_ftnref1" w:history="1">
        <w:r w:rsidR="00F174B8" w:rsidRPr="00BB3634">
          <w:rPr>
            <w:rStyle w:val="Hyperlink"/>
          </w:rPr>
          <w:t>2020 ONCA 287</w:t>
        </w:r>
      </w:hyperlink>
      <w:r w:rsidR="00F174B8" w:rsidRPr="00BB3634">
        <w:t xml:space="preserve"> at paras 111-117</w:t>
      </w:r>
    </w:p>
    <w:p w14:paraId="16B88242" w14:textId="77777777" w:rsidR="00A50B73" w:rsidRPr="00BB3634" w:rsidRDefault="00A50B73" w:rsidP="000B18E5">
      <w:pPr>
        <w:pStyle w:val="NoSpacing"/>
      </w:pPr>
    </w:p>
    <w:p w14:paraId="30ACF8B8" w14:textId="65DBB05D" w:rsidR="00C30C7E" w:rsidRPr="00BB3634" w:rsidRDefault="00C30C7E" w:rsidP="000B18E5">
      <w:pPr>
        <w:pStyle w:val="NoSpacing"/>
      </w:pPr>
      <w:r w:rsidRPr="00BB3634">
        <w:t xml:space="preserve">The appropriate focus in most cases of late or insufficient disclosure under s. 24(1) is the “remediation of prejudice to the accused” and the “safeguarding of the integrity of the justice system: </w:t>
      </w:r>
      <w:r w:rsidRPr="00BB3634">
        <w:rPr>
          <w:i/>
        </w:rPr>
        <w:t xml:space="preserve">Natsis </w:t>
      </w:r>
      <w:r w:rsidRPr="00BB3634">
        <w:t>at para 35</w:t>
      </w:r>
    </w:p>
    <w:p w14:paraId="18803BEF" w14:textId="53B7A567" w:rsidR="00C30C7E" w:rsidRPr="00BB3634" w:rsidRDefault="00C30C7E" w:rsidP="000B18E5">
      <w:pPr>
        <w:pStyle w:val="NoSpacing"/>
      </w:pPr>
    </w:p>
    <w:p w14:paraId="4751542F" w14:textId="1F0096EE" w:rsidR="00A50B73" w:rsidRPr="00BB3634" w:rsidRDefault="00F174B8" w:rsidP="000B18E5">
      <w:pPr>
        <w:pStyle w:val="NoSpacing"/>
      </w:pPr>
      <w:r w:rsidRPr="00BB3634">
        <w:t xml:space="preserve">In </w:t>
      </w:r>
      <w:r w:rsidRPr="00BB3634">
        <w:rPr>
          <w:i/>
        </w:rPr>
        <w:t xml:space="preserve">Pascal, </w:t>
      </w:r>
      <w:r w:rsidRPr="00BB3634">
        <w:t xml:space="preserve">the Ontario Court of Appeal vacated a conviction and ordered a new trial due to the failure of the Crown to disclose that a key crown witness had a criminal record and was facing charges which possibly gave rise to a motivation to lie: </w:t>
      </w:r>
      <w:hyperlink r:id="rId47" w:anchor="_ftnref1" w:history="1">
        <w:r w:rsidRPr="00BB3634">
          <w:rPr>
            <w:rStyle w:val="Hyperlink"/>
          </w:rPr>
          <w:t>2020 ONCA 287</w:t>
        </w:r>
      </w:hyperlink>
      <w:r w:rsidRPr="00BB3634">
        <w:t xml:space="preserve"> </w:t>
      </w:r>
    </w:p>
    <w:p w14:paraId="5C928A48" w14:textId="77777777" w:rsidR="00C30C7E" w:rsidRPr="00BB3634" w:rsidRDefault="00C30C7E" w:rsidP="000B18E5">
      <w:pPr>
        <w:pStyle w:val="NoSpacing"/>
      </w:pPr>
    </w:p>
    <w:p w14:paraId="5BB4A848" w14:textId="7203C56E" w:rsidR="00E37550" w:rsidRPr="00BB3634" w:rsidRDefault="00E37550" w:rsidP="007A6720">
      <w:pPr>
        <w:pStyle w:val="Heading3"/>
      </w:pPr>
      <w:bookmarkStart w:id="16" w:name="_Toc94360103"/>
      <w:r w:rsidRPr="00BB3634">
        <w:t>Lost Evidence</w:t>
      </w:r>
      <w:bookmarkEnd w:id="16"/>
    </w:p>
    <w:p w14:paraId="63E0CFF8" w14:textId="39C3D734" w:rsidR="007E7E79" w:rsidRPr="00BB3634" w:rsidRDefault="007E7E79" w:rsidP="00BB3634">
      <w:pPr>
        <w:pStyle w:val="font8"/>
        <w:spacing w:before="0" w:beforeAutospacing="0" w:after="0" w:afterAutospacing="0" w:line="276" w:lineRule="auto"/>
        <w:jc w:val="both"/>
        <w:textAlignment w:val="baseline"/>
        <w:rPr>
          <w:rFonts w:ascii="Arial" w:hAnsi="Arial" w:cs="Arial"/>
          <w:b/>
          <w:bCs/>
          <w:sz w:val="24"/>
          <w:szCs w:val="24"/>
        </w:rPr>
      </w:pPr>
    </w:p>
    <w:p w14:paraId="399A00DB" w14:textId="239E16DC" w:rsidR="00D02709" w:rsidRPr="00BB3634" w:rsidRDefault="00D02709" w:rsidP="000B18E5">
      <w:pPr>
        <w:pStyle w:val="NoSpacing"/>
      </w:pPr>
      <w:r w:rsidRPr="00BB3634">
        <w:t xml:space="preserve">A claim asserting a breach of s. 7 based on evidence lost or destroyed by the prosecution proceeds in two steps. First, the court determines whether the loss or destruction of the evidence results in a breach of s. 7 based on an interference with the accused’s right to make full answer and defence. Second, if there is a s. 7 breach, the court must determine the appropriate remedy. A stay of criminal proceedings is the appropriate remedy only in extraordinary circumstances: </w:t>
      </w:r>
      <w:r w:rsidRPr="00BB3634">
        <w:rPr>
          <w:i/>
        </w:rPr>
        <w:t xml:space="preserve">R v Hersi, </w:t>
      </w:r>
      <w:hyperlink r:id="rId48" w:history="1">
        <w:r w:rsidRPr="00BB3634">
          <w:rPr>
            <w:rStyle w:val="Hyperlink"/>
          </w:rPr>
          <w:t>2019 ONCA 94</w:t>
        </w:r>
      </w:hyperlink>
      <w:r w:rsidRPr="00BB3634">
        <w:t>, at para 25</w:t>
      </w:r>
    </w:p>
    <w:p w14:paraId="02DFB3F7" w14:textId="5B07CD7E" w:rsidR="00D02709" w:rsidRPr="00BB3634" w:rsidRDefault="00D02709" w:rsidP="000B18E5">
      <w:pPr>
        <w:pStyle w:val="NoSpacing"/>
      </w:pPr>
    </w:p>
    <w:p w14:paraId="6FE80B36" w14:textId="0780C9E1" w:rsidR="00D02709" w:rsidRPr="00AA659C" w:rsidRDefault="00D02709" w:rsidP="000B18E5">
      <w:pPr>
        <w:pStyle w:val="NoSpacing"/>
      </w:pPr>
      <w:r w:rsidRPr="00BB3634">
        <w:t>The loss or destruction of material in the possession or control of the police will constitute a breach of the right to make full answer and defence if the material was disclosable under the broad relevance standard established in </w:t>
      </w:r>
      <w:r w:rsidRPr="00BB3634">
        <w:rPr>
          <w:i/>
        </w:rPr>
        <w:t>R. v. Stinchcombe</w:t>
      </w:r>
      <w:r w:rsidRPr="00BB3634">
        <w:t>, [1991] 3 S.C.R. 326, and </w:t>
      </w:r>
      <w:r w:rsidRPr="00BB3634">
        <w:rPr>
          <w:i/>
        </w:rPr>
        <w:t>R. v. Egger</w:t>
      </w:r>
      <w:r w:rsidRPr="00BB3634">
        <w:t xml:space="preserve">, [1993] 2 S.C.R. 451, and the prosecution fails to show that the loss or destruction of the material was not the consequence of “unacceptable negligence” by the police. The more obvious the importance of the evidence, the higher will be the degree of care expected of reasonable police officers: </w:t>
      </w:r>
      <w:r w:rsidRPr="00BB3634">
        <w:rPr>
          <w:i/>
        </w:rPr>
        <w:t xml:space="preserve">R v Hersi, </w:t>
      </w:r>
      <w:hyperlink r:id="rId49" w:history="1">
        <w:r w:rsidRPr="00BB3634">
          <w:rPr>
            <w:rStyle w:val="Hyperlink"/>
          </w:rPr>
          <w:t>2019 ONCA 94</w:t>
        </w:r>
      </w:hyperlink>
      <w:r w:rsidRPr="00BB3634">
        <w:t>, at paras 26, 30</w:t>
      </w:r>
      <w:r w:rsidR="001B2CDE" w:rsidRPr="00BB3634">
        <w:t xml:space="preserve">; </w:t>
      </w:r>
      <w:r w:rsidR="001B2CDE" w:rsidRPr="00BB3634">
        <w:rPr>
          <w:i/>
        </w:rPr>
        <w:t xml:space="preserve">R v Abreha, </w:t>
      </w:r>
      <w:hyperlink r:id="rId50" w:history="1">
        <w:r w:rsidR="001B2CDE" w:rsidRPr="00BB3634">
          <w:rPr>
            <w:rStyle w:val="Hyperlink"/>
          </w:rPr>
          <w:t>2019 ONCA 392</w:t>
        </w:r>
      </w:hyperlink>
      <w:r w:rsidR="001B2CDE" w:rsidRPr="00BB3634">
        <w:t>, at para 11</w:t>
      </w:r>
      <w:r w:rsidR="00AA659C">
        <w:t xml:space="preserve">; </w:t>
      </w:r>
      <w:r w:rsidR="00AA659C">
        <w:rPr>
          <w:i/>
          <w:iCs w:val="0"/>
        </w:rPr>
        <w:t xml:space="preserve">R v Hillier, </w:t>
      </w:r>
      <w:hyperlink r:id="rId51" w:history="1">
        <w:r w:rsidR="00AA659C" w:rsidRPr="00AA659C">
          <w:rPr>
            <w:rStyle w:val="Hyperlink"/>
          </w:rPr>
          <w:t>2021 ONCA 180</w:t>
        </w:r>
      </w:hyperlink>
      <w:r w:rsidR="00AA659C">
        <w:t>, at paras 27-28</w:t>
      </w:r>
    </w:p>
    <w:p w14:paraId="55632E8B" w14:textId="2C7EFA88" w:rsidR="00D02709" w:rsidRPr="00BB3634" w:rsidRDefault="00D02709" w:rsidP="000B18E5">
      <w:pPr>
        <w:pStyle w:val="NoSpacing"/>
      </w:pPr>
    </w:p>
    <w:p w14:paraId="7643A0A4" w14:textId="29744607" w:rsidR="00D02709" w:rsidRPr="00BB3634" w:rsidRDefault="00D02709" w:rsidP="000B18E5">
      <w:pPr>
        <w:pStyle w:val="NoSpacing"/>
      </w:pPr>
      <w:r w:rsidRPr="00BB3634">
        <w:lastRenderedPageBreak/>
        <w:t xml:space="preserve">Section 24(1) requires the court to impose the “appropriate and just” remedy in the circumstances. In making that judgment, the actual prejudice caused to the defence is a significant consideration: </w:t>
      </w:r>
      <w:r w:rsidRPr="00BB3634">
        <w:rPr>
          <w:i/>
        </w:rPr>
        <w:t xml:space="preserve">Hersi, </w:t>
      </w:r>
      <w:r w:rsidRPr="00BB3634">
        <w:t>at para 36</w:t>
      </w:r>
    </w:p>
    <w:p w14:paraId="2923BE3C" w14:textId="77777777" w:rsidR="00D02709" w:rsidRPr="00BB3634" w:rsidRDefault="00D02709" w:rsidP="00BB3634">
      <w:pPr>
        <w:pStyle w:val="font8"/>
        <w:spacing w:before="0" w:beforeAutospacing="0" w:after="0" w:afterAutospacing="0" w:line="276" w:lineRule="auto"/>
        <w:jc w:val="both"/>
        <w:textAlignment w:val="baseline"/>
        <w:rPr>
          <w:rFonts w:ascii="Arial" w:hAnsi="Arial" w:cs="Arial"/>
          <w:b/>
          <w:bCs/>
          <w:sz w:val="24"/>
          <w:szCs w:val="24"/>
        </w:rPr>
      </w:pPr>
    </w:p>
    <w:p w14:paraId="24695E95" w14:textId="4FB73B33" w:rsidR="00E37550" w:rsidRPr="00BB3634" w:rsidRDefault="00E37550" w:rsidP="00BB3634">
      <w:pPr>
        <w:pStyle w:val="font8"/>
        <w:spacing w:before="0" w:beforeAutospacing="0" w:after="0" w:afterAutospacing="0" w:line="276" w:lineRule="auto"/>
        <w:jc w:val="both"/>
        <w:textAlignment w:val="baseline"/>
        <w:rPr>
          <w:rFonts w:ascii="Arial" w:hAnsi="Arial" w:cs="Arial"/>
          <w:bCs/>
          <w:sz w:val="24"/>
          <w:szCs w:val="24"/>
        </w:rPr>
      </w:pPr>
      <w:r w:rsidRPr="00BB3634">
        <w:rPr>
          <w:rFonts w:ascii="Arial" w:hAnsi="Arial" w:cs="Arial"/>
          <w:bCs/>
          <w:sz w:val="24"/>
          <w:szCs w:val="24"/>
        </w:rPr>
        <w:t xml:space="preserve">In </w:t>
      </w:r>
      <w:r w:rsidRPr="00BB3634">
        <w:rPr>
          <w:rFonts w:ascii="Arial" w:hAnsi="Arial" w:cs="Arial"/>
          <w:bCs/>
          <w:i/>
          <w:sz w:val="24"/>
          <w:szCs w:val="24"/>
        </w:rPr>
        <w:t xml:space="preserve">Abedi, </w:t>
      </w:r>
      <w:r w:rsidRPr="00BB3634">
        <w:rPr>
          <w:rFonts w:ascii="Arial" w:hAnsi="Arial" w:cs="Arial"/>
          <w:bCs/>
          <w:sz w:val="24"/>
          <w:szCs w:val="24"/>
        </w:rPr>
        <w:t xml:space="preserve">the Court of Appeal refused to allow an appeal based on alleged prejudice to the accused due to the loss of the complainant’s recorded statement at trial. The Court held that other evidence containing essentially the same information existed, namely, the officer’s notes, which were contemporaneous and detailed. The defence did not suggest that the notes were inaccurate or missing any important details: </w:t>
      </w:r>
      <w:r w:rsidRPr="00BB3634">
        <w:rPr>
          <w:rFonts w:ascii="Arial" w:hAnsi="Arial" w:cs="Arial"/>
          <w:bCs/>
          <w:i/>
          <w:sz w:val="24"/>
          <w:szCs w:val="24"/>
        </w:rPr>
        <w:t xml:space="preserve">R v Abedi, </w:t>
      </w:r>
      <w:hyperlink r:id="rId52" w:history="1">
        <w:r w:rsidRPr="00BB3634">
          <w:rPr>
            <w:rStyle w:val="Hyperlink"/>
            <w:rFonts w:ascii="Arial" w:hAnsi="Arial" w:cs="Arial"/>
            <w:bCs/>
            <w:sz w:val="24"/>
            <w:szCs w:val="24"/>
          </w:rPr>
          <w:t>2017 ONCA 724</w:t>
        </w:r>
      </w:hyperlink>
    </w:p>
    <w:p w14:paraId="389B3155" w14:textId="09A72B0F" w:rsidR="00E37550" w:rsidRPr="00BB3634" w:rsidRDefault="00E37550" w:rsidP="00BB3634">
      <w:pPr>
        <w:pStyle w:val="font8"/>
        <w:spacing w:before="0" w:beforeAutospacing="0" w:after="0" w:afterAutospacing="0" w:line="276" w:lineRule="auto"/>
        <w:jc w:val="both"/>
        <w:textAlignment w:val="baseline"/>
        <w:rPr>
          <w:rFonts w:ascii="Arial" w:hAnsi="Arial" w:cs="Arial"/>
          <w:bCs/>
          <w:sz w:val="24"/>
          <w:szCs w:val="24"/>
        </w:rPr>
      </w:pPr>
    </w:p>
    <w:p w14:paraId="6D2B8615" w14:textId="0E3DC2EF" w:rsidR="00D02709" w:rsidRPr="00BB3634" w:rsidRDefault="001B2CDE" w:rsidP="000B18E5">
      <w:pPr>
        <w:pStyle w:val="NoSpacing"/>
      </w:pPr>
      <w:r w:rsidRPr="00BB3634">
        <w:t xml:space="preserve">The correct instructional remedy for lost evidence is to advise the jury that the effect of any such unavailable evidence on the Crown’s case will be for the jury to decide: </w:t>
      </w:r>
      <w:r w:rsidRPr="00BB3634">
        <w:rPr>
          <w:i/>
        </w:rPr>
        <w:t xml:space="preserve">R v Abreha, </w:t>
      </w:r>
      <w:hyperlink r:id="rId53" w:history="1">
        <w:r w:rsidRPr="00BB3634">
          <w:rPr>
            <w:rStyle w:val="Hyperlink"/>
          </w:rPr>
          <w:t>2019 ONCA 392</w:t>
        </w:r>
      </w:hyperlink>
      <w:r w:rsidRPr="00BB3634">
        <w:t xml:space="preserve">, at para 13 </w:t>
      </w:r>
    </w:p>
    <w:p w14:paraId="726C148D" w14:textId="77777777" w:rsidR="00960DC2" w:rsidRPr="00BB3634" w:rsidRDefault="00960DC2" w:rsidP="000B18E5">
      <w:pPr>
        <w:pStyle w:val="NoSpacing"/>
      </w:pPr>
    </w:p>
    <w:p w14:paraId="2FD1CAE1" w14:textId="6F169314" w:rsidR="007E7E79" w:rsidRPr="00BB3634" w:rsidRDefault="007E7E79" w:rsidP="00BB3634">
      <w:pPr>
        <w:pStyle w:val="Heading2"/>
        <w:spacing w:line="276" w:lineRule="auto"/>
        <w:rPr>
          <w:rFonts w:cs="Arial"/>
        </w:rPr>
      </w:pPr>
      <w:bookmarkStart w:id="17" w:name="_Toc94360104"/>
      <w:r w:rsidRPr="00BB3634">
        <w:rPr>
          <w:rFonts w:cs="Arial"/>
        </w:rPr>
        <w:t>Right to a Fair Trial</w:t>
      </w:r>
      <w:bookmarkEnd w:id="17"/>
      <w:r w:rsidRPr="00BB3634">
        <w:rPr>
          <w:rFonts w:cs="Arial"/>
        </w:rPr>
        <w:t xml:space="preserve"> </w:t>
      </w:r>
    </w:p>
    <w:p w14:paraId="1D4BD63C" w14:textId="5E7881D1" w:rsidR="004B7CCB" w:rsidRPr="00BB3634" w:rsidRDefault="004B7CCB" w:rsidP="000B18E5">
      <w:pPr>
        <w:pStyle w:val="NoSpacing"/>
      </w:pPr>
      <w:r w:rsidRPr="00BB3634">
        <w:t>See 11(d) Below</w:t>
      </w:r>
      <w:r w:rsidR="00F553A9" w:rsidRPr="00BB3634">
        <w:t xml:space="preserve"> for more on the right to a fair trial</w:t>
      </w:r>
    </w:p>
    <w:p w14:paraId="5019131B" w14:textId="6CFEC707" w:rsidR="00F553A9" w:rsidRPr="00BB3634" w:rsidRDefault="00F553A9" w:rsidP="000B18E5">
      <w:pPr>
        <w:pStyle w:val="NoSpacing"/>
      </w:pPr>
    </w:p>
    <w:p w14:paraId="052637AE" w14:textId="514A1CA4" w:rsidR="00F553A9" w:rsidRPr="00BB3634" w:rsidRDefault="00F553A9" w:rsidP="007A6720">
      <w:pPr>
        <w:pStyle w:val="Heading3"/>
        <w:numPr>
          <w:ilvl w:val="0"/>
          <w:numId w:val="47"/>
        </w:numPr>
      </w:pPr>
      <w:bookmarkStart w:id="18" w:name="_Toc94360105"/>
      <w:r w:rsidRPr="00BB3634">
        <w:t>Rowbotham Applications</w:t>
      </w:r>
      <w:bookmarkEnd w:id="18"/>
    </w:p>
    <w:p w14:paraId="6178EDC3" w14:textId="29E807C7" w:rsidR="00F553A9" w:rsidRPr="00BB3634" w:rsidRDefault="00F553A9" w:rsidP="000B18E5">
      <w:pPr>
        <w:pStyle w:val="NoSpacing"/>
      </w:pPr>
      <w:r w:rsidRPr="00BB3634">
        <w:t>The three prerequisites for a </w:t>
      </w:r>
      <w:r w:rsidRPr="00BB3634">
        <w:rPr>
          <w:i/>
        </w:rPr>
        <w:t>Rowbotham</w:t>
      </w:r>
      <w:r w:rsidRPr="00BB3634">
        <w:t> order are that: the accused must have been refused Legal Aid; the accused must lack the means to employ counsel; and representation for the accused must be “essential to a fair trial”:  A fair trial in this context embraces both the concept of the ability to make full answer and defence and the appearance of fairness.</w:t>
      </w:r>
    </w:p>
    <w:p w14:paraId="457F1D82" w14:textId="77777777" w:rsidR="00F553A9" w:rsidRPr="00BB3634" w:rsidRDefault="00F553A9" w:rsidP="000B18E5">
      <w:pPr>
        <w:pStyle w:val="NoSpacing"/>
      </w:pPr>
    </w:p>
    <w:p w14:paraId="47908E20" w14:textId="2BCF9095" w:rsidR="00F553A9" w:rsidRPr="00BB3634" w:rsidRDefault="00F553A9" w:rsidP="000B18E5">
      <w:pPr>
        <w:pStyle w:val="NoSpacing"/>
      </w:pPr>
      <w:r w:rsidRPr="00BB3634">
        <w:t>Trial and motion judges must evaluate whether appointing counsel under a </w:t>
      </w:r>
      <w:r w:rsidRPr="00BB3634">
        <w:rPr>
          <w:i/>
        </w:rPr>
        <w:t>Rowbotham</w:t>
      </w:r>
      <w:r w:rsidRPr="00BB3634">
        <w:t> order is necessary for a fair trial on a case-specific basis, having regard to relevant factors, including the seriousness of the charges, the likelihood of imprisonment, the length and complexity of the proceedings in terms of the factual evidence, and the procedural, evidentiary and substantive law that would apply. The judge must also attend to the possibility of specialized procedures such as </w:t>
      </w:r>
      <w:r w:rsidRPr="00BB3634">
        <w:rPr>
          <w:i/>
        </w:rPr>
        <w:t>voir dires</w:t>
      </w:r>
      <w:r w:rsidRPr="00BB3634">
        <w:t xml:space="preserve">, and the accused’s personal ability to participate effectively in defending the case. The trial judge has an obligation to assist unrepresented counsel, which can sometimes mitigate the need for counsel. The </w:t>
      </w:r>
      <w:r w:rsidRPr="00BB3634">
        <w:rPr>
          <w:lang w:val="en-GB"/>
        </w:rPr>
        <w:t>involvement of </w:t>
      </w:r>
      <w:r w:rsidRPr="00BB3634">
        <w:rPr>
          <w:i/>
          <w:lang w:val="en-GB"/>
        </w:rPr>
        <w:t>amicus </w:t>
      </w:r>
      <w:r w:rsidRPr="00BB3634">
        <w:rPr>
          <w:lang w:val="en-GB"/>
        </w:rPr>
        <w:t>also remains a relevant factor in determining whether the interests of justice can be met without a </w:t>
      </w:r>
      <w:r w:rsidRPr="00BB3634">
        <w:rPr>
          <w:i/>
          <w:lang w:val="en-GB"/>
        </w:rPr>
        <w:t>Rowbotham </w:t>
      </w:r>
      <w:r w:rsidRPr="00BB3634">
        <w:rPr>
          <w:lang w:val="en-GB"/>
        </w:rPr>
        <w:t>order.</w:t>
      </w:r>
    </w:p>
    <w:p w14:paraId="7E9D8812" w14:textId="77777777" w:rsidR="00F553A9" w:rsidRPr="00BB3634" w:rsidRDefault="00F553A9" w:rsidP="000B18E5">
      <w:pPr>
        <w:pStyle w:val="NoSpacing"/>
      </w:pPr>
    </w:p>
    <w:p w14:paraId="77463C9C" w14:textId="2BD37D30" w:rsidR="00F553A9" w:rsidRPr="00BB3634" w:rsidRDefault="00F553A9" w:rsidP="000B18E5">
      <w:pPr>
        <w:pStyle w:val="NoSpacing"/>
      </w:pPr>
      <w:r w:rsidRPr="00BB3634">
        <w:t xml:space="preserve">An accused must act reasonably and in good faith in seeking relief from the court. The court may take into account, for example, that the accused has demonstrated an inability to work with counsel previously, and has fired multiple lawyers: </w:t>
      </w:r>
      <w:r w:rsidRPr="00BB3634">
        <w:rPr>
          <w:i/>
        </w:rPr>
        <w:t xml:space="preserve">R v Imona-Russel, </w:t>
      </w:r>
      <w:hyperlink r:id="rId54" w:history="1">
        <w:r w:rsidRPr="00BB3634">
          <w:rPr>
            <w:rStyle w:val="Hyperlink"/>
          </w:rPr>
          <w:t>2019 ONCA 252</w:t>
        </w:r>
      </w:hyperlink>
      <w:r w:rsidRPr="00BB3634">
        <w:t>, at paras 38-47</w:t>
      </w:r>
    </w:p>
    <w:p w14:paraId="6B767313" w14:textId="3A299B89" w:rsidR="00A631D8" w:rsidRPr="00BB3634" w:rsidRDefault="00A631D8" w:rsidP="000B18E5">
      <w:pPr>
        <w:pStyle w:val="NoSpacing"/>
      </w:pPr>
    </w:p>
    <w:p w14:paraId="6940A584" w14:textId="43A38DBF" w:rsidR="00A631D8" w:rsidRPr="00BB3634" w:rsidRDefault="00A631D8" w:rsidP="007A6720">
      <w:pPr>
        <w:pStyle w:val="Heading3"/>
        <w:numPr>
          <w:ilvl w:val="0"/>
          <w:numId w:val="47"/>
        </w:numPr>
      </w:pPr>
      <w:bookmarkStart w:id="19" w:name="_Toc94360106"/>
      <w:r w:rsidRPr="00BB3634">
        <w:t>Adverse Inference from Presence</w:t>
      </w:r>
      <w:bookmarkEnd w:id="19"/>
    </w:p>
    <w:p w14:paraId="3117CFCA" w14:textId="798B4AE0" w:rsidR="00A631D8" w:rsidRPr="00BB3634" w:rsidRDefault="00A631D8" w:rsidP="00BB3634">
      <w:pPr>
        <w:spacing w:line="276" w:lineRule="auto"/>
        <w:rPr>
          <w:rFonts w:ascii="Arial" w:hAnsi="Arial" w:cs="Arial"/>
          <w:lang w:val="en-US"/>
        </w:rPr>
      </w:pPr>
    </w:p>
    <w:p w14:paraId="3BE6AAEB" w14:textId="79790D80" w:rsidR="00A631D8" w:rsidRPr="00BB3634" w:rsidRDefault="00A631D8" w:rsidP="000B18E5">
      <w:pPr>
        <w:pStyle w:val="NoSpacing"/>
      </w:pPr>
      <w:r w:rsidRPr="00BB3634">
        <w:t>Accused persons have not only a statutory obligation but also a right to be present at their trial, grounded in their constitutionally guaranteed rights to a fair trial and to make full answer and defence. Absent an allegation of recent fabrication, a trier of fact cannot use this right against the accused to find that he had the opportunity to tailor his evidence and that he did so. This line of reasoning is not permissible: </w:t>
      </w:r>
      <w:r w:rsidRPr="00BB3634">
        <w:rPr>
          <w:i/>
        </w:rPr>
        <w:t xml:space="preserve">R v Esquivel-Benitze, </w:t>
      </w:r>
      <w:hyperlink r:id="rId55" w:history="1">
        <w:r w:rsidRPr="00BB3634">
          <w:rPr>
            <w:rStyle w:val="Hyperlink"/>
          </w:rPr>
          <w:t>2020 ONCA 160,</w:t>
        </w:r>
      </w:hyperlink>
      <w:r w:rsidRPr="00BB3634">
        <w:t xml:space="preserve"> at paras 16-19</w:t>
      </w:r>
      <w:r w:rsidR="00AD23FF" w:rsidRPr="00BB3634">
        <w:t xml:space="preserve">; </w:t>
      </w:r>
      <w:r w:rsidR="00AD23FF" w:rsidRPr="00BB3634">
        <w:rPr>
          <w:i/>
        </w:rPr>
        <w:t xml:space="preserve">R v GV, </w:t>
      </w:r>
      <w:hyperlink r:id="rId56" w:history="1">
        <w:r w:rsidR="00AD23FF" w:rsidRPr="00BB3634">
          <w:rPr>
            <w:rStyle w:val="Hyperlink"/>
          </w:rPr>
          <w:t>2020 ONCA 291</w:t>
        </w:r>
      </w:hyperlink>
      <w:r w:rsidR="00AD23FF" w:rsidRPr="00BB3634">
        <w:t>, at paras 24-31</w:t>
      </w:r>
      <w:r w:rsidR="003E7142" w:rsidRPr="00BB3634">
        <w:t xml:space="preserve">; </w:t>
      </w:r>
      <w:r w:rsidR="003E7142" w:rsidRPr="00BB3634">
        <w:rPr>
          <w:i/>
        </w:rPr>
        <w:t xml:space="preserve">R v MD, </w:t>
      </w:r>
      <w:hyperlink r:id="rId57" w:history="1">
        <w:r w:rsidR="003E7142" w:rsidRPr="00BB3634">
          <w:rPr>
            <w:rStyle w:val="Hyperlink"/>
          </w:rPr>
          <w:t>2020 ONCA 290</w:t>
        </w:r>
      </w:hyperlink>
      <w:r w:rsidR="003E7142" w:rsidRPr="00BB3634">
        <w:t>, at paras 22-3</w:t>
      </w:r>
      <w:r w:rsidR="00EA1D04" w:rsidRPr="00BB3634">
        <w:t>1</w:t>
      </w:r>
    </w:p>
    <w:p w14:paraId="6B074E44" w14:textId="12527D65" w:rsidR="00AD23FF" w:rsidRPr="00BB3634" w:rsidRDefault="00AD23FF" w:rsidP="000B18E5">
      <w:pPr>
        <w:pStyle w:val="NoSpacing"/>
      </w:pPr>
    </w:p>
    <w:p w14:paraId="72EB3C3E" w14:textId="5E028A99" w:rsidR="00AD23FF" w:rsidRPr="00BB3634" w:rsidRDefault="00AD23FF" w:rsidP="000B18E5">
      <w:pPr>
        <w:pStyle w:val="NoSpacing"/>
      </w:pPr>
      <w:r w:rsidRPr="00BB3634">
        <w:t xml:space="preserve">There are, however, a limited range of circumstances in which the Crown may cross-examine an accused on his right to be present at trial or on his right to receive disclosure. For example, the Crown may cross-examine the accused on disclosure to substantiate a claim of recent fabrication or concoction of an alibi by the accused: However, the Crown cannot make the allegation of concoction to the jury without first putting it to the accused and giving him an opportunity to respond: </w:t>
      </w:r>
      <w:r w:rsidRPr="00BB3634">
        <w:rPr>
          <w:i/>
        </w:rPr>
        <w:t xml:space="preserve">R v GV, </w:t>
      </w:r>
      <w:hyperlink r:id="rId58" w:history="1">
        <w:r w:rsidRPr="00BB3634">
          <w:rPr>
            <w:rStyle w:val="Hyperlink"/>
          </w:rPr>
          <w:t>2020 ONCA 291</w:t>
        </w:r>
      </w:hyperlink>
      <w:r w:rsidRPr="00BB3634">
        <w:t>, at paras 27-28</w:t>
      </w:r>
      <w:r w:rsidR="003E7142" w:rsidRPr="00BB3634">
        <w:t xml:space="preserve">; </w:t>
      </w:r>
      <w:r w:rsidR="003E7142" w:rsidRPr="00BB3634">
        <w:rPr>
          <w:i/>
        </w:rPr>
        <w:t xml:space="preserve">R v MD, </w:t>
      </w:r>
      <w:hyperlink r:id="rId59" w:history="1">
        <w:r w:rsidR="003E7142" w:rsidRPr="00BB3634">
          <w:rPr>
            <w:rStyle w:val="Hyperlink"/>
          </w:rPr>
          <w:t>2020 ONCA 290</w:t>
        </w:r>
      </w:hyperlink>
      <w:r w:rsidR="003E7142" w:rsidRPr="00BB3634">
        <w:t>, at para 26</w:t>
      </w:r>
    </w:p>
    <w:p w14:paraId="103A7F2C" w14:textId="33FEDD8B" w:rsidR="005C0227" w:rsidRPr="00BB3634" w:rsidRDefault="005C0227" w:rsidP="000B18E5">
      <w:pPr>
        <w:pStyle w:val="NoSpacing"/>
      </w:pPr>
    </w:p>
    <w:p w14:paraId="5385E833" w14:textId="77777777" w:rsidR="007423C7" w:rsidRPr="00BB3634" w:rsidRDefault="007423C7" w:rsidP="000B18E5">
      <w:pPr>
        <w:pStyle w:val="NoSpacing"/>
      </w:pPr>
    </w:p>
    <w:p w14:paraId="116F7F47" w14:textId="500F8D25" w:rsidR="00972016" w:rsidRPr="00BB3634" w:rsidRDefault="00972016" w:rsidP="00BB3634">
      <w:pPr>
        <w:pStyle w:val="Heading2"/>
        <w:spacing w:line="276" w:lineRule="auto"/>
        <w:rPr>
          <w:rFonts w:cs="Arial"/>
        </w:rPr>
      </w:pPr>
      <w:bookmarkStart w:id="20" w:name="_Toc94360107"/>
      <w:r w:rsidRPr="00BB3634">
        <w:rPr>
          <w:rFonts w:cs="Arial"/>
        </w:rPr>
        <w:t>Right to Full Answer and Defence</w:t>
      </w:r>
      <w:bookmarkEnd w:id="20"/>
    </w:p>
    <w:p w14:paraId="7D728BA6" w14:textId="77777777" w:rsidR="00972016" w:rsidRPr="00BB3634" w:rsidRDefault="00972016" w:rsidP="00BB3634">
      <w:pPr>
        <w:spacing w:line="276" w:lineRule="auto"/>
        <w:rPr>
          <w:rFonts w:ascii="Arial" w:hAnsi="Arial" w:cs="Arial"/>
        </w:rPr>
      </w:pPr>
    </w:p>
    <w:p w14:paraId="608AE3F9" w14:textId="3D31242B" w:rsidR="00712EF9" w:rsidRPr="00BB3634" w:rsidRDefault="00712EF9" w:rsidP="000B18E5">
      <w:pPr>
        <w:pStyle w:val="NoSpacing"/>
      </w:pPr>
      <w:r w:rsidRPr="00BB3634">
        <w:t>Full answer and defence is, in turn, a crucial component of a fair trial, a constitutionally protected right and the ultimate goal of the criminal process.  Trial fairness is not measured exclusively from the accused’s perspective but also takes account of broader societal interests.  Those broader interests place a premium on a process that achieves accurate and reliable verdicts in a manner that respects the rights and dignity of all participants in the process, including, but not limited to, the accused</w:t>
      </w:r>
    </w:p>
    <w:p w14:paraId="24F6B257" w14:textId="77777777" w:rsidR="00712EF9" w:rsidRPr="00BB3634" w:rsidRDefault="00712EF9" w:rsidP="000B18E5">
      <w:pPr>
        <w:pStyle w:val="NoSpacing"/>
      </w:pPr>
    </w:p>
    <w:p w14:paraId="04808037" w14:textId="77777777" w:rsidR="00712EF9" w:rsidRPr="00BB3634" w:rsidRDefault="00972016" w:rsidP="000B18E5">
      <w:pPr>
        <w:pStyle w:val="NoSpacing"/>
      </w:pPr>
      <w:r w:rsidRPr="00BB3634">
        <w:t>The right to make full answer and defence is a central constitutional right.  The manner in which it is pursued can vary in an infinite variety of ways and on a case-by-case basis</w:t>
      </w:r>
      <w:r w:rsidR="00712EF9" w:rsidRPr="00BB3634">
        <w:t xml:space="preserve">: : </w:t>
      </w:r>
      <w:r w:rsidR="00712EF9" w:rsidRPr="00BB3634">
        <w:rPr>
          <w:i/>
        </w:rPr>
        <w:t xml:space="preserve">R v Dunstan, </w:t>
      </w:r>
      <w:hyperlink r:id="rId60" w:history="1">
        <w:r w:rsidR="00712EF9" w:rsidRPr="00BB3634">
          <w:rPr>
            <w:rStyle w:val="Hyperlink"/>
          </w:rPr>
          <w:t>2017 ONCA 432</w:t>
        </w:r>
      </w:hyperlink>
      <w:r w:rsidR="00712EF9" w:rsidRPr="00BB3634">
        <w:t xml:space="preserve"> at para 73</w:t>
      </w:r>
    </w:p>
    <w:p w14:paraId="2E645CBC" w14:textId="50C37786" w:rsidR="00972016" w:rsidRPr="00BB3634" w:rsidRDefault="00972016" w:rsidP="000B18E5">
      <w:pPr>
        <w:pStyle w:val="NoSpacing"/>
      </w:pPr>
    </w:p>
    <w:p w14:paraId="04420051" w14:textId="491E2C89" w:rsidR="00712EF9" w:rsidRPr="00BB3634" w:rsidRDefault="00712EF9" w:rsidP="000B18E5">
      <w:pPr>
        <w:pStyle w:val="NoSpacing"/>
      </w:pPr>
      <w:r w:rsidRPr="00BB3634">
        <w:t xml:space="preserve">The right to make full answer and defence is a trial right. There is no right to make full answer and defence at the preliminary inquiry. The right to make full answer and defence at trial, however, also entitles the accused to full and timely disclosure of the Crown’s case. It does not entitle the accused to any particular procedure to achieve that end. Nor does it require a procedure that maximizes the ability of the accused to make full answer and defence: </w:t>
      </w:r>
      <w:r w:rsidRPr="00BB3634">
        <w:rPr>
          <w:i/>
        </w:rPr>
        <w:t xml:space="preserve">R v RS, </w:t>
      </w:r>
      <w:hyperlink r:id="rId61" w:history="1">
        <w:r w:rsidRPr="00BB3634">
          <w:rPr>
            <w:rStyle w:val="Hyperlink"/>
          </w:rPr>
          <w:t>2019 ONCA 906</w:t>
        </w:r>
      </w:hyperlink>
      <w:r w:rsidRPr="00BB3634">
        <w:t>, at para 65</w:t>
      </w:r>
    </w:p>
    <w:p w14:paraId="071D7B63" w14:textId="7A3A6EED" w:rsidR="00712EF9" w:rsidRPr="00BB3634" w:rsidRDefault="00712EF9" w:rsidP="000B18E5">
      <w:pPr>
        <w:pStyle w:val="NoSpacing"/>
      </w:pPr>
    </w:p>
    <w:p w14:paraId="7F5A8A19" w14:textId="5DD3C7EE" w:rsidR="00761114" w:rsidRPr="00BB3634" w:rsidRDefault="00761114" w:rsidP="000B18E5">
      <w:pPr>
        <w:pStyle w:val="NoSpacing"/>
      </w:pPr>
      <w:r w:rsidRPr="00BB3634">
        <w:t xml:space="preserve">The right to make full answer and defence includes not only the ability to challenge the Crown’s case on the merits but also the ability to advance reasonable Charter and/or other process-oriented responses to the charges: </w:t>
      </w:r>
      <w:r w:rsidRPr="00BB3634">
        <w:rPr>
          <w:i/>
        </w:rPr>
        <w:t xml:space="preserve">R v Sandeson, </w:t>
      </w:r>
      <w:r w:rsidRPr="00BB3634">
        <w:t>2020 NSCA 47</w:t>
      </w:r>
    </w:p>
    <w:p w14:paraId="4F70EE9F" w14:textId="50B991B8" w:rsidR="00761114" w:rsidRDefault="00761114" w:rsidP="00BB3634">
      <w:pPr>
        <w:spacing w:line="276" w:lineRule="auto"/>
        <w:rPr>
          <w:rFonts w:ascii="Arial" w:hAnsi="Arial" w:cs="Arial"/>
        </w:rPr>
      </w:pPr>
    </w:p>
    <w:p w14:paraId="385FE83E" w14:textId="5AFD3FDE" w:rsidR="00F80BB3" w:rsidRPr="00F80BB3" w:rsidRDefault="00F80BB3" w:rsidP="00F80BB3">
      <w:pPr>
        <w:spacing w:line="276" w:lineRule="auto"/>
        <w:jc w:val="both"/>
        <w:rPr>
          <w:rFonts w:ascii="Arial" w:hAnsi="Arial" w:cs="Arial"/>
        </w:rPr>
      </w:pPr>
      <w:r>
        <w:rPr>
          <w:rStyle w:val="Hyperlink"/>
          <w:rFonts w:ascii="Arial" w:hAnsi="Arial" w:cs="Arial"/>
          <w:color w:val="auto"/>
          <w:u w:val="none"/>
        </w:rPr>
        <w:t xml:space="preserve">It is improper to allege that an accused has tailored his evidence to the evidence heard in court. This argument undermines the accused’s right to be present at his trial and to make full answer and defence: </w:t>
      </w:r>
      <w:r>
        <w:rPr>
          <w:rStyle w:val="Hyperlink"/>
          <w:rFonts w:ascii="Arial" w:hAnsi="Arial" w:cs="Arial"/>
          <w:i/>
          <w:iCs/>
          <w:color w:val="auto"/>
          <w:u w:val="none"/>
        </w:rPr>
        <w:t xml:space="preserve">R v BL, </w:t>
      </w:r>
      <w:hyperlink r:id="rId62" w:history="1">
        <w:r w:rsidRPr="00F80BB3">
          <w:rPr>
            <w:rStyle w:val="Hyperlink"/>
            <w:rFonts w:ascii="Arial" w:hAnsi="Arial" w:cs="Arial"/>
          </w:rPr>
          <w:t>2021 ONCA 373</w:t>
        </w:r>
      </w:hyperlink>
      <w:r>
        <w:rPr>
          <w:rStyle w:val="Hyperlink"/>
          <w:rFonts w:ascii="Arial" w:hAnsi="Arial" w:cs="Arial"/>
          <w:color w:val="auto"/>
          <w:u w:val="none"/>
        </w:rPr>
        <w:t>, at para</w:t>
      </w:r>
      <w:r w:rsidR="00D6427E">
        <w:rPr>
          <w:rStyle w:val="Hyperlink"/>
          <w:rFonts w:ascii="Arial" w:hAnsi="Arial" w:cs="Arial"/>
          <w:color w:val="auto"/>
          <w:u w:val="none"/>
        </w:rPr>
        <w:t>s</w:t>
      </w:r>
      <w:r>
        <w:rPr>
          <w:rStyle w:val="Hyperlink"/>
          <w:rFonts w:ascii="Arial" w:hAnsi="Arial" w:cs="Arial"/>
          <w:color w:val="auto"/>
          <w:u w:val="none"/>
        </w:rPr>
        <w:t xml:space="preserve"> 45</w:t>
      </w:r>
      <w:r w:rsidR="00D6427E">
        <w:rPr>
          <w:rStyle w:val="Hyperlink"/>
          <w:rFonts w:ascii="Arial" w:hAnsi="Arial" w:cs="Arial"/>
          <w:color w:val="auto"/>
          <w:u w:val="none"/>
        </w:rPr>
        <w:t>-50</w:t>
      </w:r>
    </w:p>
    <w:p w14:paraId="7A1827EA" w14:textId="611687AD" w:rsidR="00F80BB3" w:rsidRPr="00BB3634" w:rsidRDefault="00F80BB3" w:rsidP="00BB3634">
      <w:pPr>
        <w:spacing w:line="276" w:lineRule="auto"/>
        <w:rPr>
          <w:rFonts w:ascii="Arial" w:hAnsi="Arial" w:cs="Arial"/>
        </w:rPr>
      </w:pPr>
    </w:p>
    <w:p w14:paraId="2EBE6D6A" w14:textId="18AC9FFA" w:rsidR="00761114" w:rsidRPr="00D5622F" w:rsidRDefault="00D5622F" w:rsidP="000B18E5">
      <w:pPr>
        <w:pStyle w:val="NoSpacing"/>
      </w:pPr>
      <w:r w:rsidRPr="00D5622F">
        <w:t>The right to make submissions is a central component of the right to make a full answer and defence</w:t>
      </w:r>
      <w:r>
        <w:t xml:space="preserve">: </w:t>
      </w:r>
      <w:r>
        <w:rPr>
          <w:i/>
        </w:rPr>
        <w:t xml:space="preserve">R v Grier, </w:t>
      </w:r>
      <w:hyperlink r:id="rId63" w:history="1">
        <w:r w:rsidRPr="00D5622F">
          <w:rPr>
            <w:rStyle w:val="Hyperlink"/>
          </w:rPr>
          <w:t>2020 ONCA 795</w:t>
        </w:r>
      </w:hyperlink>
      <w:r>
        <w:t xml:space="preserve">, at para 110 </w:t>
      </w:r>
    </w:p>
    <w:p w14:paraId="7A295370" w14:textId="77777777" w:rsidR="00D5622F" w:rsidRDefault="00D5622F" w:rsidP="000B18E5">
      <w:pPr>
        <w:pStyle w:val="NoSpacing"/>
      </w:pPr>
    </w:p>
    <w:p w14:paraId="474D3BD6" w14:textId="4D8ECBB2" w:rsidR="00094927" w:rsidRPr="00BB3634" w:rsidRDefault="00094927" w:rsidP="000B18E5">
      <w:pPr>
        <w:pStyle w:val="NoSpacing"/>
        <w:rPr>
          <w:i/>
        </w:rPr>
      </w:pPr>
      <w:r w:rsidRPr="00BB3634">
        <w:t xml:space="preserve">For principles on cross-examination, see General Principles on Law: Cross-examination </w:t>
      </w:r>
    </w:p>
    <w:p w14:paraId="0A6267E8" w14:textId="77777777" w:rsidR="00F80BB3" w:rsidRPr="00BB3634" w:rsidRDefault="00F80BB3" w:rsidP="000B18E5">
      <w:pPr>
        <w:pStyle w:val="NoSpacing"/>
      </w:pPr>
    </w:p>
    <w:p w14:paraId="2F2D7189" w14:textId="3D203F79" w:rsidR="005C0227" w:rsidRPr="00BB3634" w:rsidRDefault="005C0227" w:rsidP="00BB3634">
      <w:pPr>
        <w:pStyle w:val="Heading2"/>
        <w:spacing w:line="276" w:lineRule="auto"/>
        <w:rPr>
          <w:rFonts w:cs="Arial"/>
        </w:rPr>
      </w:pPr>
      <w:bookmarkStart w:id="21" w:name="_Toc94360108"/>
      <w:r w:rsidRPr="00BB3634">
        <w:rPr>
          <w:rFonts w:cs="Arial"/>
        </w:rPr>
        <w:t>Right to Security of the Person</w:t>
      </w:r>
      <w:bookmarkEnd w:id="21"/>
    </w:p>
    <w:p w14:paraId="238DF614" w14:textId="3EFA7F8A" w:rsidR="005C0227" w:rsidRPr="00BB3634" w:rsidRDefault="005C0227" w:rsidP="000B18E5">
      <w:pPr>
        <w:pStyle w:val="NoSpacing"/>
      </w:pPr>
      <w:r w:rsidRPr="00BB3634">
        <w:t xml:space="preserve">It is not every qualification or compromise of a person`s security that comes within the reach of s. 7 of the </w:t>
      </w:r>
      <w:r w:rsidRPr="00BB3634">
        <w:rPr>
          <w:i/>
        </w:rPr>
        <w:t>Charter</w:t>
      </w:r>
      <w:r w:rsidRPr="00BB3634">
        <w:t xml:space="preserve">. The qualification or compromise must be significant enough to warrant constitutional protection. </w:t>
      </w:r>
    </w:p>
    <w:p w14:paraId="688A7D49" w14:textId="77777777" w:rsidR="005C0227" w:rsidRPr="00BB3634" w:rsidRDefault="005C0227" w:rsidP="000B18E5">
      <w:pPr>
        <w:pStyle w:val="NoSpacing"/>
      </w:pPr>
    </w:p>
    <w:p w14:paraId="182611CB" w14:textId="31BB1A09" w:rsidR="005C0227" w:rsidRPr="00BB3634" w:rsidRDefault="005C0227" w:rsidP="000B18E5">
      <w:pPr>
        <w:pStyle w:val="NoSpacing"/>
      </w:pPr>
      <w:r w:rsidRPr="00BB3634">
        <w:t xml:space="preserve">Security of the person protects both the physical and psychological integrity of the individual. For a restriction of security of the person to be established, the state action in issue must have a serious and profound effect on a person’s psychological integrity: </w:t>
      </w:r>
      <w:r w:rsidRPr="00BB3634">
        <w:rPr>
          <w:i/>
        </w:rPr>
        <w:t xml:space="preserve">R v Donnelly, </w:t>
      </w:r>
      <w:hyperlink r:id="rId64" w:history="1">
        <w:r w:rsidRPr="00BB3634">
          <w:rPr>
            <w:rStyle w:val="Hyperlink"/>
          </w:rPr>
          <w:t>2016 ONCA 988</w:t>
        </w:r>
      </w:hyperlink>
      <w:r w:rsidRPr="00BB3634">
        <w:t xml:space="preserve"> at paras 106-107</w:t>
      </w:r>
    </w:p>
    <w:p w14:paraId="3DD3100A" w14:textId="77777777" w:rsidR="005C0227" w:rsidRPr="00BB3634" w:rsidRDefault="005C0227" w:rsidP="00BB3634">
      <w:pPr>
        <w:pStyle w:val="aparanumbering"/>
        <w:shd w:val="clear" w:color="auto" w:fill="FFFFFF"/>
        <w:spacing w:before="120" w:beforeAutospacing="0" w:after="120" w:afterAutospacing="0" w:line="276" w:lineRule="auto"/>
        <w:jc w:val="both"/>
        <w:rPr>
          <w:rFonts w:ascii="Arial" w:hAnsi="Arial" w:cs="Arial"/>
          <w:color w:val="000000"/>
          <w:sz w:val="24"/>
          <w:szCs w:val="24"/>
        </w:rPr>
      </w:pPr>
    </w:p>
    <w:p w14:paraId="4FC6AC0A" w14:textId="48273847" w:rsidR="005C0227" w:rsidRPr="00BB3634" w:rsidRDefault="005C0227" w:rsidP="000B18E5">
      <w:pPr>
        <w:pStyle w:val="NoSpacing"/>
      </w:pPr>
      <w:r w:rsidRPr="00BB3634">
        <w:t xml:space="preserve">Note, see </w:t>
      </w:r>
      <w:r w:rsidRPr="00BB3634">
        <w:rPr>
          <w:i/>
        </w:rPr>
        <w:t>Saadati v Moorhead</w:t>
      </w:r>
      <w:r w:rsidRPr="00BB3634">
        <w:t xml:space="preserve">, </w:t>
      </w:r>
      <w:hyperlink r:id="rId65" w:history="1">
        <w:r w:rsidRPr="00BB3634">
          <w:rPr>
            <w:rStyle w:val="Hyperlink"/>
          </w:rPr>
          <w:t>2017 SCC 28</w:t>
        </w:r>
      </w:hyperlink>
      <w:r w:rsidRPr="00BB3634">
        <w:t xml:space="preserve">, in which the Supreme Court of Canada held that neither expert evidence nor proof of recognized psychiatric illness is required for recovery for mental injury in the civil context. </w:t>
      </w:r>
    </w:p>
    <w:p w14:paraId="35A98770" w14:textId="77777777" w:rsidR="005C0227" w:rsidRPr="00BB3634" w:rsidRDefault="005C0227" w:rsidP="000B18E5">
      <w:pPr>
        <w:pStyle w:val="NoSpacing"/>
      </w:pPr>
    </w:p>
    <w:p w14:paraId="078558E3" w14:textId="1A31E194" w:rsidR="005C0227" w:rsidRPr="00BB3634" w:rsidRDefault="005C0227" w:rsidP="000B18E5">
      <w:pPr>
        <w:pStyle w:val="NoSpacing"/>
      </w:pPr>
      <w:r w:rsidRPr="00BB3634">
        <w:t>The descriptive “serious state-imposed psychological stress” fixes two requirements that must be met before the security of the person interest protected by s. 7 becomes engaged. First, the psychological harm must be state imposed, that is to say, the harm must result from actions of the state. And second, the psychological harm or prejudice must be serious. It follows that not every form of psychological prejudice or harm will constitute a violation of s. 7. In other words, there is something qualitative about the type of state interference that ascends to the level of a s. 7 infringement. Nervous shock or psychiatric illness are not necessarily required, but something greater than “ordinary stress or anxiety” is.</w:t>
      </w:r>
    </w:p>
    <w:p w14:paraId="1E04706E" w14:textId="77777777" w:rsidR="005C0227" w:rsidRPr="00BB3634" w:rsidRDefault="005C0227" w:rsidP="000B18E5">
      <w:pPr>
        <w:pStyle w:val="NoSpacing"/>
      </w:pPr>
    </w:p>
    <w:p w14:paraId="21AFC286" w14:textId="5AAFE1C9" w:rsidR="005C0227" w:rsidRPr="00BB3634" w:rsidRDefault="005C0227" w:rsidP="000B18E5">
      <w:pPr>
        <w:pStyle w:val="NoSpacing"/>
      </w:pPr>
      <w:r w:rsidRPr="00BB3634">
        <w:t xml:space="preserve">The effects of the state interference are to be assessed objectively. The court gauges their impact on the psychological integrity of a person of reasonable sensibility, not one of exceptional stability or of peculiar vulnerability: </w:t>
      </w:r>
      <w:r w:rsidRPr="00BB3634">
        <w:rPr>
          <w:i/>
        </w:rPr>
        <w:t xml:space="preserve">Donnelly </w:t>
      </w:r>
      <w:r w:rsidRPr="00BB3634">
        <w:t>at paras 108-109</w:t>
      </w:r>
    </w:p>
    <w:p w14:paraId="79515559" w14:textId="77777777" w:rsidR="00311813" w:rsidRPr="00BB3634" w:rsidRDefault="00311813" w:rsidP="000B18E5">
      <w:pPr>
        <w:pStyle w:val="NoSpacing"/>
      </w:pPr>
    </w:p>
    <w:p w14:paraId="40441DD6" w14:textId="78AFC57C" w:rsidR="00311813" w:rsidRPr="00BB3634" w:rsidRDefault="00311813" w:rsidP="000B18E5">
      <w:pPr>
        <w:pStyle w:val="NoSpacing"/>
      </w:pPr>
      <w:r w:rsidRPr="00BB3634">
        <w:t xml:space="preserve">In </w:t>
      </w:r>
      <w:r w:rsidRPr="00BB3634">
        <w:rPr>
          <w:i/>
        </w:rPr>
        <w:t xml:space="preserve">R v Ugbaja, </w:t>
      </w:r>
      <w:r w:rsidRPr="00BB3634">
        <w:t xml:space="preserve">2019 ONSC 96, the Superior Court of Justice entered a stay of proceedings on charges of importing cocaine as a remedy for the corrections system’s failure to provide adequate medical attention following the accused’s foot injury, leading to long-term medical consequences. </w:t>
      </w:r>
    </w:p>
    <w:p w14:paraId="4E37C8C8" w14:textId="593166A6" w:rsidR="004B7CCB" w:rsidRDefault="004B7CCB" w:rsidP="000B18E5">
      <w:pPr>
        <w:pStyle w:val="NoSpacing"/>
      </w:pPr>
    </w:p>
    <w:p w14:paraId="573BD22F" w14:textId="2CFB33C9" w:rsidR="00BB3634" w:rsidRDefault="00BB3634" w:rsidP="000B18E5">
      <w:pPr>
        <w:pStyle w:val="NoSpacing"/>
      </w:pPr>
    </w:p>
    <w:p w14:paraId="3BFE7046" w14:textId="77777777" w:rsidR="00BB3634" w:rsidRPr="00BB3634" w:rsidRDefault="00BB3634" w:rsidP="000B18E5">
      <w:pPr>
        <w:pStyle w:val="NoSpacing"/>
      </w:pPr>
    </w:p>
    <w:p w14:paraId="04C31F35" w14:textId="50D4B76D" w:rsidR="00FD1078" w:rsidRPr="00BB3634" w:rsidRDefault="00FD1078" w:rsidP="00BB3634">
      <w:pPr>
        <w:pStyle w:val="Heading2"/>
        <w:spacing w:line="276" w:lineRule="auto"/>
        <w:rPr>
          <w:rFonts w:cs="Arial"/>
        </w:rPr>
      </w:pPr>
      <w:bookmarkStart w:id="22" w:name="_Toc94360109"/>
      <w:r w:rsidRPr="00BB3634">
        <w:rPr>
          <w:rFonts w:cs="Arial"/>
        </w:rPr>
        <w:t>Right to Liberty</w:t>
      </w:r>
      <w:bookmarkEnd w:id="22"/>
    </w:p>
    <w:p w14:paraId="61E9FEDB" w14:textId="77777777" w:rsidR="00FD1078" w:rsidRPr="00BB3634" w:rsidRDefault="00FD1078" w:rsidP="000B18E5">
      <w:pPr>
        <w:pStyle w:val="NoSpacing"/>
      </w:pPr>
      <w:r w:rsidRPr="00BB3634">
        <w:t xml:space="preserve">Confinement for more than 22 hours a day without meaningful human contact constitutes solitary confinement: </w:t>
      </w:r>
      <w:hyperlink r:id="rId66" w:history="1">
        <w:r w:rsidRPr="00BB3634">
          <w:t>C.C.N.</w:t>
        </w:r>
      </w:hyperlink>
      <w:r w:rsidRPr="00BB3634">
        <w:t>, 2018 ABPC 148</w:t>
      </w:r>
    </w:p>
    <w:p w14:paraId="1ED1FC0C" w14:textId="1D72C312" w:rsidR="000539F5" w:rsidRPr="00BB3634" w:rsidRDefault="000539F5" w:rsidP="000B18E5">
      <w:pPr>
        <w:pStyle w:val="NoSpacing"/>
      </w:pPr>
    </w:p>
    <w:p w14:paraId="56B243C2" w14:textId="6911E306" w:rsidR="00547A6E" w:rsidRPr="00BB3634" w:rsidRDefault="00547A6E" w:rsidP="000B18E5">
      <w:pPr>
        <w:pStyle w:val="NoSpacing"/>
        <w:rPr>
          <w:i/>
        </w:rPr>
      </w:pPr>
      <w:r w:rsidRPr="00BB3634">
        <w:t xml:space="preserve">Administrative segregation for more than 15 consecutive days constitutes cruel and unusual punishment, contrary to s.12 of the </w:t>
      </w:r>
      <w:r w:rsidRPr="00BB3634">
        <w:rPr>
          <w:i/>
        </w:rPr>
        <w:t xml:space="preserve">Charter: </w:t>
      </w:r>
      <w:r w:rsidRPr="00BB3634">
        <w:rPr>
          <w:rStyle w:val="Hyperlink"/>
          <w:color w:val="000000" w:themeColor="text1"/>
          <w:u w:val="none"/>
        </w:rPr>
        <w:t>Canadian Civil Liberties Association v Canada, 2019 ONCA 243</w:t>
      </w:r>
    </w:p>
    <w:p w14:paraId="0C1548D2" w14:textId="77777777" w:rsidR="00547A6E" w:rsidRPr="00BB3634" w:rsidRDefault="00547A6E" w:rsidP="000B18E5">
      <w:pPr>
        <w:pStyle w:val="NoSpacing"/>
      </w:pPr>
    </w:p>
    <w:p w14:paraId="77DA7B13" w14:textId="65739046" w:rsidR="00FD1078" w:rsidRPr="00BB3634" w:rsidRDefault="000539F5" w:rsidP="000B18E5">
      <w:pPr>
        <w:pStyle w:val="NoSpacing"/>
      </w:pPr>
      <w:r w:rsidRPr="00BB3634">
        <w:t xml:space="preserve">For more on the constitutional limits of solitary confinement, see: </w:t>
      </w:r>
      <w:r w:rsidRPr="00BB3634">
        <w:rPr>
          <w:rStyle w:val="Emphasis"/>
          <w:caps w:val="0"/>
          <w:spacing w:val="0"/>
          <w:sz w:val="24"/>
          <w:szCs w:val="24"/>
        </w:rPr>
        <w:t>Corporation of the Canadian Civil Liberties Association vs Canada (Attorney General)</w:t>
      </w:r>
      <w:r w:rsidRPr="00BB3634">
        <w:t>, </w:t>
      </w:r>
      <w:hyperlink r:id="rId67" w:history="1">
        <w:r w:rsidRPr="00BB3634">
          <w:rPr>
            <w:rStyle w:val="Hyperlink"/>
            <w:color w:val="000000" w:themeColor="text1"/>
            <w:u w:val="none"/>
          </w:rPr>
          <w:t xml:space="preserve">2017 </w:t>
        </w:r>
        <w:r w:rsidRPr="00BB3634">
          <w:rPr>
            <w:rStyle w:val="Hyperlink"/>
            <w:color w:val="000000" w:themeColor="text1"/>
            <w:u w:val="none"/>
          </w:rPr>
          <w:lastRenderedPageBreak/>
          <w:t>ONSC 7491</w:t>
        </w:r>
      </w:hyperlink>
      <w:r w:rsidRPr="00BB3634">
        <w:t> and  </w:t>
      </w:r>
      <w:r w:rsidRPr="00BB3634">
        <w:rPr>
          <w:rStyle w:val="Emphasis"/>
          <w:caps w:val="0"/>
          <w:spacing w:val="0"/>
          <w:sz w:val="24"/>
          <w:szCs w:val="24"/>
        </w:rPr>
        <w:t>British Columbia Civil Liberties Association v Canada (Attorney General),</w:t>
      </w:r>
      <w:r w:rsidRPr="00BB3634">
        <w:t> </w:t>
      </w:r>
      <w:hyperlink r:id="rId68" w:history="1">
        <w:r w:rsidRPr="00BB3634">
          <w:rPr>
            <w:rStyle w:val="Hyperlink"/>
            <w:color w:val="000000" w:themeColor="text1"/>
            <w:u w:val="none"/>
          </w:rPr>
          <w:t>2018 BCSC 62</w:t>
        </w:r>
      </w:hyperlink>
      <w:r w:rsidR="00547A6E" w:rsidRPr="00BB3634">
        <w:rPr>
          <w:rStyle w:val="Hyperlink"/>
          <w:color w:val="000000" w:themeColor="text1"/>
          <w:u w:val="none"/>
        </w:rPr>
        <w:t>; and Canadian Civil Liberties Association v Canada, 2019 ONCA 243</w:t>
      </w:r>
    </w:p>
    <w:p w14:paraId="1E82F527" w14:textId="77777777" w:rsidR="002A561B" w:rsidRPr="00BB3634" w:rsidRDefault="002A561B" w:rsidP="000B18E5">
      <w:pPr>
        <w:pStyle w:val="NoSpacing"/>
      </w:pPr>
    </w:p>
    <w:p w14:paraId="210398A2" w14:textId="07CA4300" w:rsidR="002A561B" w:rsidRPr="00BB3634" w:rsidRDefault="002A561B" w:rsidP="000B18E5">
      <w:pPr>
        <w:pStyle w:val="NoSpacing"/>
      </w:pPr>
      <w:r w:rsidRPr="00BB3634">
        <w:t xml:space="preserve">In </w:t>
      </w:r>
      <w:r w:rsidRPr="00BB3634">
        <w:rPr>
          <w:i/>
        </w:rPr>
        <w:t xml:space="preserve">R v Ugbaja, </w:t>
      </w:r>
      <w:r w:rsidR="008E2125" w:rsidRPr="00BB3634">
        <w:t>2019</w:t>
      </w:r>
      <w:r w:rsidRPr="00BB3634">
        <w:t xml:space="preserve"> ONSC </w:t>
      </w:r>
      <w:r w:rsidR="008E2125" w:rsidRPr="00BB3634">
        <w:t>96, the Superior Court of Justice entered a stay of proceedings on charges of importing cocaine as a remedy for the corrections system’s unlawful placement of the accused in solitary confinement</w:t>
      </w:r>
      <w:r w:rsidR="003178B5" w:rsidRPr="00BB3634">
        <w:t xml:space="preserve"> for </w:t>
      </w:r>
      <w:r w:rsidR="00E87CE6" w:rsidRPr="00BB3634">
        <w:t xml:space="preserve">a prolonged period of time for medical purposes. </w:t>
      </w:r>
      <w:r w:rsidR="008E2125" w:rsidRPr="00BB3634">
        <w:t xml:space="preserve"> </w:t>
      </w:r>
    </w:p>
    <w:p w14:paraId="3DC22794" w14:textId="77777777" w:rsidR="008E2125" w:rsidRPr="00BB3634" w:rsidRDefault="008E2125" w:rsidP="000B18E5">
      <w:pPr>
        <w:pStyle w:val="NoSpacing"/>
      </w:pPr>
    </w:p>
    <w:p w14:paraId="41DC4151" w14:textId="77777777" w:rsidR="00FD1078" w:rsidRPr="00BB3634" w:rsidRDefault="00FD1078" w:rsidP="00BB3634">
      <w:pPr>
        <w:spacing w:line="276" w:lineRule="auto"/>
        <w:rPr>
          <w:rFonts w:ascii="Arial" w:hAnsi="Arial" w:cs="Arial"/>
        </w:rPr>
      </w:pPr>
    </w:p>
    <w:p w14:paraId="4D1E7639" w14:textId="02039E2D" w:rsidR="004B7CCB" w:rsidRPr="00BB3634" w:rsidRDefault="009C2A75" w:rsidP="00BB3634">
      <w:pPr>
        <w:pStyle w:val="Heading2"/>
        <w:spacing w:line="276" w:lineRule="auto"/>
        <w:rPr>
          <w:rFonts w:cs="Arial"/>
        </w:rPr>
      </w:pPr>
      <w:bookmarkStart w:id="23" w:name="_Toc94360110"/>
      <w:r w:rsidRPr="00BB3634">
        <w:rPr>
          <w:rFonts w:cs="Arial"/>
        </w:rPr>
        <w:t>A</w:t>
      </w:r>
      <w:r w:rsidR="004B7CCB" w:rsidRPr="00BB3634">
        <w:rPr>
          <w:rFonts w:cs="Arial"/>
        </w:rPr>
        <w:t xml:space="preserve">buse of </w:t>
      </w:r>
      <w:r w:rsidRPr="00BB3634">
        <w:rPr>
          <w:rFonts w:cs="Arial"/>
        </w:rPr>
        <w:t>P</w:t>
      </w:r>
      <w:r w:rsidR="004B7CCB" w:rsidRPr="00BB3634">
        <w:rPr>
          <w:rFonts w:cs="Arial"/>
        </w:rPr>
        <w:t>rocess</w:t>
      </w:r>
      <w:bookmarkEnd w:id="23"/>
    </w:p>
    <w:p w14:paraId="0715BAEA" w14:textId="2827419A" w:rsidR="004B7CCB" w:rsidRPr="00BB3634" w:rsidRDefault="004B7CCB" w:rsidP="000B18E5">
      <w:pPr>
        <w:pStyle w:val="NoSpacing"/>
      </w:pPr>
      <w:r w:rsidRPr="00BB3634">
        <w:t xml:space="preserve">The doctrine of abuse of process is not a tool for assessing the quality of prosecutorial decisions. It is a tool for addressing conduct of the Crown that is egregious and seriously undermines the fairness of the proceeding or the integrity of the administration of justice. Simply put, it is about misconduct, not poor performance: </w:t>
      </w:r>
      <w:r w:rsidRPr="00BB3634">
        <w:rPr>
          <w:i/>
        </w:rPr>
        <w:t xml:space="preserve">Jackson v Ontario, </w:t>
      </w:r>
      <w:hyperlink r:id="rId69" w:history="1">
        <w:r w:rsidRPr="00BB3634">
          <w:rPr>
            <w:rStyle w:val="Hyperlink"/>
          </w:rPr>
          <w:t>2017 ONCA 812</w:t>
        </w:r>
      </w:hyperlink>
      <w:r w:rsidRPr="00BB3634">
        <w:t xml:space="preserve"> at para 2</w:t>
      </w:r>
    </w:p>
    <w:p w14:paraId="050C89E4" w14:textId="4D12943E" w:rsidR="00D53879" w:rsidRPr="00BB3634" w:rsidRDefault="00D53879" w:rsidP="000B18E5">
      <w:pPr>
        <w:pStyle w:val="NoSpacing"/>
      </w:pPr>
    </w:p>
    <w:p w14:paraId="228DDF43" w14:textId="2099C091" w:rsidR="00D53879" w:rsidRPr="00BB3634" w:rsidRDefault="00D53879" w:rsidP="00BB3634">
      <w:pPr>
        <w:spacing w:line="276" w:lineRule="auto"/>
        <w:rPr>
          <w:rFonts w:ascii="Arial" w:hAnsi="Arial" w:cs="Arial"/>
        </w:rPr>
      </w:pPr>
      <w:r w:rsidRPr="00BB3634">
        <w:rPr>
          <w:rFonts w:ascii="Arial" w:hAnsi="Arial" w:cs="Arial"/>
          <w:color w:val="000000"/>
        </w:rPr>
        <w:t xml:space="preserve">Abuse of process may, however, encompass an unacceptable degree of negligent state conduct: </w:t>
      </w:r>
      <w:r w:rsidRPr="00BB3634">
        <w:rPr>
          <w:rFonts w:ascii="Arial" w:hAnsi="Arial" w:cs="Arial"/>
          <w:i/>
          <w:iCs/>
          <w:color w:val="000000"/>
        </w:rPr>
        <w:t xml:space="preserve">R v Gerson-Foster, </w:t>
      </w:r>
      <w:hyperlink r:id="rId70" w:history="1">
        <w:r w:rsidRPr="00BB3634">
          <w:rPr>
            <w:rStyle w:val="Hyperlink"/>
            <w:rFonts w:ascii="Arial" w:hAnsi="Arial" w:cs="Arial"/>
          </w:rPr>
          <w:t>2019 ONCA 405</w:t>
        </w:r>
      </w:hyperlink>
      <w:r w:rsidRPr="00BB3634">
        <w:rPr>
          <w:rFonts w:ascii="Arial" w:hAnsi="Arial" w:cs="Arial"/>
          <w:color w:val="000000"/>
        </w:rPr>
        <w:t>, at para 98</w:t>
      </w:r>
    </w:p>
    <w:p w14:paraId="275D388F" w14:textId="3E4F8723" w:rsidR="00BB3634" w:rsidRDefault="00BB3634" w:rsidP="00BB3634">
      <w:pPr>
        <w:spacing w:line="276" w:lineRule="auto"/>
        <w:rPr>
          <w:rFonts w:ascii="Arial" w:hAnsi="Arial" w:cs="Arial"/>
        </w:rPr>
      </w:pPr>
    </w:p>
    <w:p w14:paraId="0C00249B" w14:textId="77777777" w:rsidR="00BB3634" w:rsidRPr="00BB3634" w:rsidRDefault="00BB3634" w:rsidP="00BB3634">
      <w:pPr>
        <w:spacing w:line="276" w:lineRule="auto"/>
        <w:rPr>
          <w:rFonts w:ascii="Arial" w:hAnsi="Arial" w:cs="Arial"/>
        </w:rPr>
      </w:pPr>
    </w:p>
    <w:p w14:paraId="7919FFDA" w14:textId="36DA1F86" w:rsidR="00BF14D7" w:rsidRPr="00BB3634" w:rsidRDefault="009C2A75" w:rsidP="00BB3634">
      <w:pPr>
        <w:pStyle w:val="Heading1"/>
        <w:spacing w:line="276" w:lineRule="auto"/>
        <w:rPr>
          <w:sz w:val="24"/>
          <w:szCs w:val="24"/>
        </w:rPr>
      </w:pPr>
      <w:bookmarkStart w:id="24" w:name="_Toc94360111"/>
      <w:r w:rsidRPr="00BB3634">
        <w:rPr>
          <w:rStyle w:val="Hyperlink"/>
          <w:color w:val="632423" w:themeColor="accent2" w:themeShade="80"/>
          <w:sz w:val="24"/>
          <w:szCs w:val="24"/>
          <w:u w:val="none"/>
        </w:rPr>
        <w:t>SECTION 8</w:t>
      </w:r>
      <w:bookmarkEnd w:id="24"/>
      <w:r w:rsidRPr="00BB3634">
        <w:rPr>
          <w:rStyle w:val="Hyperlink"/>
          <w:color w:val="632423" w:themeColor="accent2" w:themeShade="80"/>
          <w:sz w:val="24"/>
          <w:szCs w:val="24"/>
          <w:u w:val="none"/>
        </w:rPr>
        <w:t> </w:t>
      </w:r>
    </w:p>
    <w:p w14:paraId="3B0E0326" w14:textId="03D11116" w:rsidR="00BF14D7" w:rsidRPr="00BB3634" w:rsidRDefault="00BF14D7" w:rsidP="00BB3634">
      <w:pPr>
        <w:pStyle w:val="Heading2"/>
        <w:numPr>
          <w:ilvl w:val="0"/>
          <w:numId w:val="13"/>
        </w:numPr>
        <w:spacing w:line="276" w:lineRule="auto"/>
        <w:rPr>
          <w:rFonts w:cs="Arial"/>
        </w:rPr>
      </w:pPr>
      <w:bookmarkStart w:id="25" w:name="_Toc94360112"/>
      <w:r w:rsidRPr="00BB3634">
        <w:rPr>
          <w:rFonts w:cs="Arial"/>
        </w:rPr>
        <w:t>Reasonable Expectation of Privacy</w:t>
      </w:r>
      <w:bookmarkEnd w:id="25"/>
    </w:p>
    <w:p w14:paraId="5940B884" w14:textId="77777777" w:rsidR="004D5910" w:rsidRPr="00BB3634" w:rsidRDefault="004D5910" w:rsidP="000B18E5">
      <w:pPr>
        <w:pStyle w:val="NoSpacing"/>
      </w:pPr>
    </w:p>
    <w:p w14:paraId="22F37EAB" w14:textId="30D7FE6B" w:rsidR="004D5910" w:rsidRPr="00BB3634" w:rsidRDefault="004D5910" w:rsidP="00E32F34">
      <w:pPr>
        <w:pStyle w:val="Heading3"/>
        <w:numPr>
          <w:ilvl w:val="0"/>
          <w:numId w:val="61"/>
        </w:numPr>
      </w:pPr>
      <w:bookmarkStart w:id="26" w:name="_Toc94360113"/>
      <w:r w:rsidRPr="00BB3634">
        <w:t>General Principles</w:t>
      </w:r>
      <w:bookmarkEnd w:id="26"/>
    </w:p>
    <w:p w14:paraId="2DABDA44" w14:textId="77777777" w:rsidR="004D5910" w:rsidRPr="00BB3634" w:rsidRDefault="004D5910" w:rsidP="000B18E5">
      <w:pPr>
        <w:pStyle w:val="NoSpacing"/>
      </w:pPr>
    </w:p>
    <w:p w14:paraId="239B8CB1" w14:textId="77777777" w:rsidR="00BF14D7" w:rsidRPr="00BB3634" w:rsidRDefault="00BF14D7" w:rsidP="000B18E5">
      <w:pPr>
        <w:pStyle w:val="NoSpacing"/>
      </w:pPr>
      <w:r w:rsidRPr="00BB3634">
        <w:t>Every investigatory technique used by police does not amount to a “search” within or for the purposes of s. 8 of the Charter. Police conduct that interferes with a reasonable expectation of privacy constitutes a "search" for the purposes of </w:t>
      </w:r>
      <w:hyperlink r:id="rId71" w:anchor="sec8_smooth" w:tgtFrame="_blank" w:history="1">
        <w:r w:rsidRPr="00BB3634">
          <w:rPr>
            <w:u w:val="single"/>
          </w:rPr>
          <w:t>s. 8</w:t>
        </w:r>
      </w:hyperlink>
      <w:r w:rsidRPr="00BB3634">
        <w:t> of the </w:t>
      </w:r>
      <w:hyperlink r:id="rId72" w:tgtFrame="_blank" w:history="1">
        <w:r w:rsidRPr="00BB3634">
          <w:rPr>
            <w:u w:val="single"/>
          </w:rPr>
          <w:t>Charter</w:t>
        </w:r>
      </w:hyperlink>
      <w:r w:rsidRPr="00BB3634">
        <w:t>: </w:t>
      </w:r>
      <w:r w:rsidRPr="00BB3634">
        <w:rPr>
          <w:i/>
        </w:rPr>
        <w:t>R v Law</w:t>
      </w:r>
      <w:r w:rsidRPr="00BB3634">
        <w:t>, </w:t>
      </w:r>
      <w:hyperlink r:id="rId73" w:tgtFrame="_blank" w:history="1">
        <w:r w:rsidRPr="00BB3634">
          <w:rPr>
            <w:u w:val="single"/>
          </w:rPr>
          <w:t>2002 SCC 10 (CanLII)</w:t>
        </w:r>
      </w:hyperlink>
      <w:r w:rsidRPr="00BB3634">
        <w:t>, at para. 15; </w:t>
      </w:r>
      <w:r w:rsidRPr="00BB3634">
        <w:rPr>
          <w:i/>
        </w:rPr>
        <w:t>R v Tessling</w:t>
      </w:r>
      <w:r w:rsidRPr="00BB3634">
        <w:t>, at para. 18; </w:t>
      </w:r>
      <w:r w:rsidRPr="00BB3634">
        <w:rPr>
          <w:i/>
        </w:rPr>
        <w:t>R v Wise,</w:t>
      </w:r>
      <w:r w:rsidRPr="00BB3634">
        <w:t> </w:t>
      </w:r>
      <w:hyperlink r:id="rId74" w:tgtFrame="_blank" w:history="1">
        <w:r w:rsidRPr="00BB3634">
          <w:rPr>
            <w:u w:val="single"/>
          </w:rPr>
          <w:t>1992 CanLII 125 (SCC)</w:t>
        </w:r>
      </w:hyperlink>
      <w:r w:rsidRPr="00BB3634">
        <w:t>, </w:t>
      </w:r>
    </w:p>
    <w:p w14:paraId="21712B82" w14:textId="77777777" w:rsidR="00BF14D7" w:rsidRPr="00BB3634" w:rsidRDefault="00BF14D7" w:rsidP="000B18E5">
      <w:pPr>
        <w:pStyle w:val="NoSpacing"/>
      </w:pPr>
      <w:r w:rsidRPr="00BB3634">
        <w:lastRenderedPageBreak/>
        <w:t>​</w:t>
      </w:r>
    </w:p>
    <w:p w14:paraId="773AA81A" w14:textId="77777777" w:rsidR="004D5910" w:rsidRPr="00BB3634" w:rsidRDefault="004D5910" w:rsidP="000B18E5">
      <w:pPr>
        <w:pStyle w:val="NoSpacing"/>
      </w:pPr>
      <w:r w:rsidRPr="00BB3634">
        <w:t>Note, it is not only the type of police conduct that determines whether a search has occurred, but also the purpose of that conduct that is controlling. A search is about looking for things to be used as or to obtain evidence of a crime: </w:t>
      </w:r>
      <w:r w:rsidRPr="00BB3634">
        <w:rPr>
          <w:i/>
        </w:rPr>
        <w:t>R v Rutledge, </w:t>
      </w:r>
      <w:hyperlink r:id="rId75" w:tgtFrame="_blank" w:history="1">
        <w:r w:rsidRPr="00BB3634">
          <w:rPr>
            <w:u w:val="single"/>
          </w:rPr>
          <w:t>2017 ONCA 635</w:t>
        </w:r>
      </w:hyperlink>
      <w:r w:rsidRPr="00BB3634">
        <w:t> at paras 19-21</w:t>
      </w:r>
    </w:p>
    <w:p w14:paraId="1893C008" w14:textId="77777777" w:rsidR="004D5910" w:rsidRPr="00BB3634" w:rsidRDefault="004D5910" w:rsidP="000B18E5">
      <w:pPr>
        <w:pStyle w:val="NoSpacing"/>
      </w:pPr>
    </w:p>
    <w:p w14:paraId="0D9EDF77" w14:textId="77777777" w:rsidR="00BF14D7" w:rsidRPr="00BB3634" w:rsidRDefault="00BF14D7" w:rsidP="000B18E5">
      <w:pPr>
        <w:pStyle w:val="NoSpacing"/>
      </w:pPr>
      <w:r w:rsidRPr="00BB3634">
        <w:t>In order to engage section 8 of the </w:t>
      </w:r>
      <w:r w:rsidRPr="00BB3634">
        <w:rPr>
          <w:i/>
        </w:rPr>
        <w:t>Charter, </w:t>
      </w:r>
      <w:r w:rsidRPr="00BB3634">
        <w:t>the individual must first have a reasonable expectation of privacy in the thing searched. Only where state examinations constitute an intrusion upon some reasonable privacy interest of individuals does the government action in question constitute a “search” within the meaning of s. 8: </w:t>
      </w:r>
      <w:r w:rsidRPr="00BB3634">
        <w:rPr>
          <w:i/>
        </w:rPr>
        <w:t>R v Jackman, </w:t>
      </w:r>
      <w:hyperlink r:id="rId76" w:tgtFrame="_blank" w:history="1">
        <w:r w:rsidRPr="00BB3634">
          <w:rPr>
            <w:u w:val="single"/>
          </w:rPr>
          <w:t>2016 ONCA 121</w:t>
        </w:r>
      </w:hyperlink>
      <w:r w:rsidRPr="00BB3634">
        <w:t> at para 21</w:t>
      </w:r>
    </w:p>
    <w:p w14:paraId="22EF856A" w14:textId="154E7E15" w:rsidR="00BF14D7" w:rsidRPr="00BB3634" w:rsidRDefault="00BF14D7" w:rsidP="000B18E5">
      <w:pPr>
        <w:pStyle w:val="NoSpacing"/>
      </w:pPr>
    </w:p>
    <w:p w14:paraId="4754BFF5" w14:textId="77777777" w:rsidR="004D5910" w:rsidRPr="00BB3634" w:rsidRDefault="004D5910" w:rsidP="000B18E5">
      <w:pPr>
        <w:pStyle w:val="NoSpacing"/>
      </w:pPr>
      <w:r w:rsidRPr="00BB3634">
        <w:t xml:space="preserve">There is a distinction between a desire for privacy and an expectation of privacy. Only the latter is relevant to a s.8 analysis: </w:t>
      </w:r>
      <w:r w:rsidRPr="00BB3634">
        <w:rPr>
          <w:i/>
        </w:rPr>
        <w:t xml:space="preserve">R v Duong, </w:t>
      </w:r>
      <w:hyperlink r:id="rId77" w:history="1">
        <w:r w:rsidRPr="00BB3634">
          <w:rPr>
            <w:rStyle w:val="Hyperlink"/>
          </w:rPr>
          <w:t>2018 ONCA 115</w:t>
        </w:r>
      </w:hyperlink>
      <w:r w:rsidRPr="00BB3634">
        <w:t xml:space="preserve"> at para 7 </w:t>
      </w:r>
    </w:p>
    <w:p w14:paraId="184FC567" w14:textId="77777777" w:rsidR="004D5910" w:rsidRPr="00BB3634" w:rsidRDefault="004D5910" w:rsidP="000B18E5">
      <w:pPr>
        <w:pStyle w:val="NoSpacing"/>
      </w:pPr>
    </w:p>
    <w:p w14:paraId="16C8BC87" w14:textId="3A86495F" w:rsidR="004D5910" w:rsidRDefault="004D5910" w:rsidP="000B18E5">
      <w:pPr>
        <w:pStyle w:val="NoSpacing"/>
      </w:pPr>
      <w:r w:rsidRPr="00BB3634">
        <w:t>An individual’s reasonable expectation of privacy must be assessed contextually, and may vary depending on the nature of the circumstances: </w:t>
      </w:r>
      <w:r w:rsidRPr="00BB3634">
        <w:rPr>
          <w:i/>
        </w:rPr>
        <w:t>R v Jackman, </w:t>
      </w:r>
      <w:hyperlink r:id="rId78" w:tgtFrame="_blank" w:history="1">
        <w:r w:rsidRPr="00BB3634">
          <w:rPr>
            <w:u w:val="single"/>
          </w:rPr>
          <w:t>2016 ONCA 121</w:t>
        </w:r>
      </w:hyperlink>
      <w:r w:rsidRPr="00BB3634">
        <w:t> at para 21</w:t>
      </w:r>
    </w:p>
    <w:p w14:paraId="4CB99C8D" w14:textId="07B79B4D" w:rsidR="002C3E82" w:rsidRDefault="002C3E82" w:rsidP="000B18E5">
      <w:pPr>
        <w:pStyle w:val="NoSpacing"/>
      </w:pPr>
    </w:p>
    <w:p w14:paraId="29CD96CA" w14:textId="05A3C650" w:rsidR="002C3E82" w:rsidRPr="002C3E82" w:rsidRDefault="002C3E82" w:rsidP="000B18E5">
      <w:pPr>
        <w:pStyle w:val="NoSpacing"/>
      </w:pPr>
      <w:r>
        <w:t xml:space="preserve">Depending on the circumstances, an individual may have a reasonable expectation of privacy in shared spaces, such as a computer used by multiple persons. A third party cannot waive the individual’s privacy interest in that space, and a police search and seizure in reliance on third party consent gives rise to a violation of s.8: </w:t>
      </w:r>
      <w:r>
        <w:rPr>
          <w:i/>
          <w:iCs w:val="0"/>
        </w:rPr>
        <w:t xml:space="preserve">R v Reeves, </w:t>
      </w:r>
      <w:hyperlink r:id="rId79" w:history="1">
        <w:r w:rsidRPr="002C3E82">
          <w:rPr>
            <w:rStyle w:val="Hyperlink"/>
          </w:rPr>
          <w:t>2018 SCC 56</w:t>
        </w:r>
      </w:hyperlink>
    </w:p>
    <w:p w14:paraId="59B954DC" w14:textId="77777777" w:rsidR="00F9425E" w:rsidRPr="00BB3634" w:rsidRDefault="00F9425E" w:rsidP="000B18E5">
      <w:pPr>
        <w:pStyle w:val="NoSpacing"/>
      </w:pPr>
    </w:p>
    <w:p w14:paraId="36B76B51" w14:textId="7F479BCE" w:rsidR="00C917F8" w:rsidRPr="00BB3634" w:rsidRDefault="00C917F8" w:rsidP="000B18E5">
      <w:pPr>
        <w:pStyle w:val="NoSpacing"/>
      </w:pPr>
      <w:r w:rsidRPr="00BB3634">
        <w:t>The reasonable expectation of privacy inquiry must also reflect a normative evaluation of societal expectations and aspirations as they relate to personal privacy.</w:t>
      </w:r>
      <w:r w:rsidR="00CA1373" w:rsidRPr="00BB3634">
        <w:t xml:space="preserve"> </w:t>
      </w:r>
      <w:r w:rsidRPr="00BB3634">
        <w:t xml:space="preserve">The assessment of whether a person has a reasonable expectation of privacy is not limited by, or dependent upon, property law concepts even if the subject matter of the claim is real property. Those concepts can, however, inform the inquiry into issues like control and access that are central to the reasonable expectation of privacy inquiry when real property is the subject matter of that inquiry: </w:t>
      </w:r>
      <w:r w:rsidRPr="00BB3634">
        <w:rPr>
          <w:i/>
        </w:rPr>
        <w:t>R v Orlandis-Habsburgo</w:t>
      </w:r>
      <w:r w:rsidRPr="00BB3634">
        <w:t xml:space="preserve">, </w:t>
      </w:r>
      <w:r w:rsidRPr="00BB3634">
        <w:rPr>
          <w:i/>
        </w:rPr>
        <w:t> </w:t>
      </w:r>
      <w:hyperlink r:id="rId80" w:tgtFrame="_blank" w:history="1">
        <w:r w:rsidRPr="00BB3634">
          <w:rPr>
            <w:u w:val="single"/>
          </w:rPr>
          <w:t>2017 ONCA 649 </w:t>
        </w:r>
      </w:hyperlink>
      <w:r w:rsidRPr="00BB3634">
        <w:t xml:space="preserve">at paras. 41-43; </w:t>
      </w:r>
      <w:r w:rsidRPr="00BB3634">
        <w:rPr>
          <w:i/>
        </w:rPr>
        <w:t xml:space="preserve">R v Le, </w:t>
      </w:r>
      <w:hyperlink r:id="rId81" w:history="1">
        <w:r w:rsidRPr="00BB3634">
          <w:rPr>
            <w:rStyle w:val="Hyperlink"/>
          </w:rPr>
          <w:t>2018 ONCA 56</w:t>
        </w:r>
      </w:hyperlink>
      <w:r w:rsidRPr="00BB3634">
        <w:t xml:space="preserve"> at para 49</w:t>
      </w:r>
    </w:p>
    <w:p w14:paraId="2CEC612E" w14:textId="77777777" w:rsidR="00C917F8" w:rsidRPr="00BB3634" w:rsidRDefault="00C917F8" w:rsidP="000B18E5">
      <w:pPr>
        <w:pStyle w:val="NoSpacing"/>
      </w:pPr>
    </w:p>
    <w:p w14:paraId="2C9EF7C8" w14:textId="17217994" w:rsidR="00F9425E" w:rsidRPr="00BB3634" w:rsidRDefault="00F9425E" w:rsidP="000B18E5">
      <w:pPr>
        <w:pStyle w:val="NoSpacing"/>
        <w:rPr>
          <w:rStyle w:val="Hyperlink"/>
          <w:color w:val="auto"/>
          <w:u w:val="none"/>
        </w:rPr>
      </w:pPr>
      <w:r w:rsidRPr="00BB3634">
        <w:t>An accused mounting a s. 8 claim may rely on the Crown’s theory of the case to establish a subject expectation of privacy. She may ask the court to assume as true any fact that the Crown has alleged or will allege in the prosecution against him in lieu of tendering evidence probative of those same facts in the </w:t>
      </w:r>
      <w:r w:rsidRPr="00BB3634">
        <w:rPr>
          <w:i/>
        </w:rPr>
        <w:t>voir dire</w:t>
      </w:r>
      <w:r w:rsidRPr="00BB3634">
        <w:t xml:space="preserve">: </w:t>
      </w:r>
      <w:r w:rsidRPr="00BB3634">
        <w:rPr>
          <w:i/>
        </w:rPr>
        <w:t xml:space="preserve">R v Jones, </w:t>
      </w:r>
      <w:hyperlink r:id="rId82" w:history="1">
        <w:r w:rsidRPr="00BB3634">
          <w:rPr>
            <w:rStyle w:val="Hyperlink"/>
          </w:rPr>
          <w:t>2017 SCC 60</w:t>
        </w:r>
      </w:hyperlink>
      <w:r w:rsidR="009E4EB4" w:rsidRPr="00BB3634">
        <w:rPr>
          <w:rStyle w:val="Hyperlink"/>
          <w:u w:val="none"/>
        </w:rPr>
        <w:t xml:space="preserve"> </w:t>
      </w:r>
      <w:r w:rsidR="009E4EB4" w:rsidRPr="00BB3634">
        <w:rPr>
          <w:rStyle w:val="Hyperlink"/>
          <w:color w:val="auto"/>
          <w:u w:val="none"/>
        </w:rPr>
        <w:t>at paras 19, 30-33</w:t>
      </w:r>
    </w:p>
    <w:p w14:paraId="7A41EBBE" w14:textId="4DFDD514" w:rsidR="00D13493" w:rsidRPr="00BB3634" w:rsidRDefault="00D13493" w:rsidP="000B18E5">
      <w:pPr>
        <w:pStyle w:val="NoSpacing"/>
        <w:rPr>
          <w:rStyle w:val="Hyperlink"/>
          <w:color w:val="auto"/>
          <w:u w:val="none"/>
        </w:rPr>
      </w:pPr>
    </w:p>
    <w:p w14:paraId="1DE44040" w14:textId="786267EF" w:rsidR="00D13493" w:rsidRPr="00BB3634" w:rsidRDefault="00D13493" w:rsidP="000B18E5">
      <w:pPr>
        <w:pStyle w:val="NoSpacing"/>
        <w:rPr>
          <w:i/>
        </w:rPr>
      </w:pPr>
      <w:r w:rsidRPr="00BB3634">
        <w:rPr>
          <w:rStyle w:val="Hyperlink"/>
          <w:color w:val="auto"/>
          <w:u w:val="none"/>
        </w:rPr>
        <w:t xml:space="preserve">The ability to rely on the Crown’s theory to establish expectation of privacy is not limited to cases where the accused does not call evidence on the voir dire. Nor is it limited to cases involving informational privacy but can extend to territorial privacy cases as well: </w:t>
      </w:r>
      <w:r w:rsidRPr="00BB3634">
        <w:rPr>
          <w:rStyle w:val="Hyperlink"/>
          <w:i/>
          <w:iCs w:val="0"/>
          <w:color w:val="auto"/>
          <w:u w:val="none"/>
        </w:rPr>
        <w:t xml:space="preserve">R v Labelle, </w:t>
      </w:r>
      <w:hyperlink r:id="rId83" w:history="1">
        <w:r w:rsidRPr="00BB3634">
          <w:rPr>
            <w:rStyle w:val="Hyperlink"/>
          </w:rPr>
          <w:t>2019 ONCA 557</w:t>
        </w:r>
      </w:hyperlink>
      <w:r w:rsidRPr="00BB3634">
        <w:rPr>
          <w:rStyle w:val="Hyperlink"/>
          <w:color w:val="auto"/>
          <w:u w:val="none"/>
        </w:rPr>
        <w:t>, at paras 23-32</w:t>
      </w:r>
      <w:r w:rsidRPr="00BB3634">
        <w:rPr>
          <w:rStyle w:val="Hyperlink"/>
          <w:i/>
          <w:iCs w:val="0"/>
          <w:color w:val="auto"/>
          <w:u w:val="none"/>
        </w:rPr>
        <w:t xml:space="preserve"> </w:t>
      </w:r>
    </w:p>
    <w:p w14:paraId="030232F1" w14:textId="77777777" w:rsidR="00F9425E" w:rsidRPr="00BB3634" w:rsidRDefault="00F9425E" w:rsidP="00BB3634">
      <w:pPr>
        <w:widowControl w:val="0"/>
        <w:autoSpaceDE w:val="0"/>
        <w:autoSpaceDN w:val="0"/>
        <w:adjustRightInd w:val="0"/>
        <w:spacing w:line="276" w:lineRule="auto"/>
        <w:jc w:val="both"/>
        <w:rPr>
          <w:rFonts w:ascii="Arial" w:hAnsi="Arial" w:cs="Arial"/>
          <w:color w:val="292929"/>
        </w:rPr>
      </w:pPr>
    </w:p>
    <w:p w14:paraId="35F96FC3" w14:textId="57722DAC" w:rsidR="00F9425E" w:rsidRPr="00BB3634" w:rsidRDefault="00C917F8" w:rsidP="007A6720">
      <w:pPr>
        <w:pStyle w:val="Heading3"/>
      </w:pPr>
      <w:bookmarkStart w:id="27" w:name="_Toc94360114"/>
      <w:r w:rsidRPr="00BB3634">
        <w:t>Personal Privacy</w:t>
      </w:r>
      <w:bookmarkEnd w:id="27"/>
    </w:p>
    <w:p w14:paraId="3195771F" w14:textId="306AD18B" w:rsidR="00C917F8" w:rsidRPr="00BB3634" w:rsidRDefault="00C917F8" w:rsidP="000B18E5">
      <w:pPr>
        <w:pStyle w:val="NoSpacing"/>
      </w:pPr>
      <w:r w:rsidRPr="00BB3634">
        <w:t xml:space="preserve">Personal privacy equates with a person’s right to require that the state leave him or her alone, absent reasonable grounds to justify interfering with that person’s privacy: </w:t>
      </w:r>
      <w:r w:rsidRPr="00BB3634">
        <w:rPr>
          <w:i/>
        </w:rPr>
        <w:t xml:space="preserve">R v Le, </w:t>
      </w:r>
      <w:hyperlink r:id="rId84" w:history="1">
        <w:r w:rsidRPr="00BB3634">
          <w:rPr>
            <w:rStyle w:val="Hyperlink"/>
          </w:rPr>
          <w:t>2018 ONCA 56</w:t>
        </w:r>
      </w:hyperlink>
      <w:r w:rsidRPr="00BB3634">
        <w:t xml:space="preserve"> at para 52</w:t>
      </w:r>
    </w:p>
    <w:p w14:paraId="0CF59F29" w14:textId="306A6E9F" w:rsidR="007423C7" w:rsidRPr="00BB3634" w:rsidRDefault="007423C7" w:rsidP="000B18E5">
      <w:pPr>
        <w:pStyle w:val="NoSpacing"/>
      </w:pPr>
    </w:p>
    <w:p w14:paraId="7E22A1B9" w14:textId="1A27C869" w:rsidR="007423C7" w:rsidRPr="00BB3634" w:rsidRDefault="007423C7" w:rsidP="000B18E5">
      <w:pPr>
        <w:pStyle w:val="NoSpacing"/>
      </w:pPr>
    </w:p>
    <w:p w14:paraId="03403718" w14:textId="77777777" w:rsidR="007423C7" w:rsidRPr="00BB3634" w:rsidRDefault="007423C7" w:rsidP="000B18E5">
      <w:pPr>
        <w:pStyle w:val="NoSpacing"/>
      </w:pPr>
    </w:p>
    <w:p w14:paraId="170B852F" w14:textId="211939BB" w:rsidR="00C917F8" w:rsidRPr="00BB3634" w:rsidRDefault="00C917F8" w:rsidP="007A6720">
      <w:pPr>
        <w:pStyle w:val="Heading3"/>
      </w:pPr>
      <w:bookmarkStart w:id="28" w:name="_Toc94360115"/>
      <w:r w:rsidRPr="00BB3634">
        <w:t xml:space="preserve">Privacy in </w:t>
      </w:r>
      <w:r w:rsidR="00D23AF9" w:rsidRPr="00BB3634">
        <w:t>R</w:t>
      </w:r>
      <w:r w:rsidRPr="00BB3634">
        <w:t xml:space="preserve">eal </w:t>
      </w:r>
      <w:r w:rsidR="00D23AF9" w:rsidRPr="00BB3634">
        <w:t>P</w:t>
      </w:r>
      <w:r w:rsidRPr="00BB3634">
        <w:t>roperty</w:t>
      </w:r>
      <w:bookmarkEnd w:id="28"/>
    </w:p>
    <w:p w14:paraId="1F8D6D44" w14:textId="77777777" w:rsidR="00101AA7" w:rsidRPr="00BB3634" w:rsidRDefault="00101AA7" w:rsidP="000B18E5">
      <w:pPr>
        <w:pStyle w:val="NoSpacing"/>
      </w:pPr>
    </w:p>
    <w:p w14:paraId="7395952B" w14:textId="714A2302" w:rsidR="00101AA7" w:rsidRPr="00A35344" w:rsidRDefault="00101AA7" w:rsidP="000B18E5">
      <w:pPr>
        <w:pStyle w:val="NoSpacing"/>
      </w:pPr>
      <w:r w:rsidRPr="00BB3634">
        <w:t>There may well be circumstances in which an invited guest has the </w:t>
      </w:r>
      <w:r w:rsidRPr="00BB3634">
        <w:rPr>
          <w:i/>
        </w:rPr>
        <w:t>de facto</w:t>
      </w:r>
      <w:r w:rsidRPr="00BB3634">
        <w:t xml:space="preserve"> power to control who can access or stay on a property. In those situations, the visitor may well have a reasonable expectation of privacy in the property: </w:t>
      </w:r>
      <w:r w:rsidR="002F5349" w:rsidRPr="00BB3634">
        <w:rPr>
          <w:i/>
        </w:rPr>
        <w:t xml:space="preserve">R v </w:t>
      </w:r>
      <w:r w:rsidRPr="00BB3634">
        <w:rPr>
          <w:i/>
        </w:rPr>
        <w:t>Le</w:t>
      </w:r>
      <w:r w:rsidR="002F5349" w:rsidRPr="00BB3634">
        <w:rPr>
          <w:i/>
        </w:rPr>
        <w:t xml:space="preserve">, </w:t>
      </w:r>
      <w:hyperlink r:id="rId85" w:history="1">
        <w:r w:rsidR="002F5349" w:rsidRPr="00BB3634">
          <w:rPr>
            <w:rStyle w:val="Hyperlink"/>
          </w:rPr>
          <w:t>2018 ONCA 56</w:t>
        </w:r>
      </w:hyperlink>
      <w:r w:rsidR="002F5349" w:rsidRPr="00BB3634">
        <w:t xml:space="preserve"> at para</w:t>
      </w:r>
      <w:r w:rsidRPr="00BB3634">
        <w:rPr>
          <w:i/>
        </w:rPr>
        <w:t xml:space="preserve"> </w:t>
      </w:r>
      <w:r w:rsidRPr="00BB3634">
        <w:t>at para 53</w:t>
      </w:r>
      <w:r w:rsidR="002F5349" w:rsidRPr="00BB3634">
        <w:t xml:space="preserve">; see </w:t>
      </w:r>
      <w:r w:rsidR="002F5349" w:rsidRPr="00BB3634">
        <w:rPr>
          <w:i/>
        </w:rPr>
        <w:t xml:space="preserve">R v Le, </w:t>
      </w:r>
      <w:hyperlink r:id="rId86" w:history="1">
        <w:r w:rsidR="002F5349" w:rsidRPr="00BB3634">
          <w:rPr>
            <w:rStyle w:val="Hyperlink"/>
          </w:rPr>
          <w:t>2019 SCC 34</w:t>
        </w:r>
      </w:hyperlink>
      <w:r w:rsidR="002F5349" w:rsidRPr="00BB3634">
        <w:t>, at paras 135-137</w:t>
      </w:r>
      <w:r w:rsidR="00A35344">
        <w:t xml:space="preserve">; see also </w:t>
      </w:r>
      <w:r w:rsidR="00A35344">
        <w:rPr>
          <w:i/>
          <w:iCs w:val="0"/>
        </w:rPr>
        <w:t xml:space="preserve">R v Farah, </w:t>
      </w:r>
      <w:r w:rsidR="00A35344">
        <w:t>2020 ONSC 7157, at paras 106-114</w:t>
      </w:r>
    </w:p>
    <w:p w14:paraId="0B46B244" w14:textId="32317E85" w:rsidR="0085511D" w:rsidRDefault="0085511D" w:rsidP="000B18E5">
      <w:pPr>
        <w:pStyle w:val="NoSpacing"/>
      </w:pPr>
    </w:p>
    <w:p w14:paraId="2FCF876A" w14:textId="62F2BAB5" w:rsidR="0085511D" w:rsidRPr="0085511D" w:rsidRDefault="0085511D" w:rsidP="000B18E5">
      <w:pPr>
        <w:pStyle w:val="NoSpacing"/>
      </w:pPr>
      <w:r>
        <w:t xml:space="preserve">However, in </w:t>
      </w:r>
      <w:r>
        <w:rPr>
          <w:i/>
        </w:rPr>
        <w:t xml:space="preserve">Sangster, </w:t>
      </w:r>
      <w:r>
        <w:t xml:space="preserve">the Court of Appeal found that, in the circumstances of that case, the accused did not have a reasonable expectation of privacy in a bedroom he was staying at for three weeks as an invited guest: </w:t>
      </w:r>
      <w:r>
        <w:rPr>
          <w:i/>
        </w:rPr>
        <w:t xml:space="preserve">R v Sangster, </w:t>
      </w:r>
      <w:hyperlink r:id="rId87" w:history="1">
        <w:r w:rsidRPr="0085511D">
          <w:rPr>
            <w:rStyle w:val="Hyperlink"/>
          </w:rPr>
          <w:t>2021 ONCA 21</w:t>
        </w:r>
      </w:hyperlink>
      <w:r>
        <w:t>, at paras 14-24</w:t>
      </w:r>
    </w:p>
    <w:p w14:paraId="7EB77DA3" w14:textId="77777777" w:rsidR="00101AA7" w:rsidRPr="00BB3634" w:rsidRDefault="00101AA7" w:rsidP="000B18E5">
      <w:pPr>
        <w:pStyle w:val="NoSpacing"/>
      </w:pPr>
    </w:p>
    <w:p w14:paraId="22F798BB" w14:textId="0BCD60D0" w:rsidR="00101AA7" w:rsidRPr="00BB3634" w:rsidRDefault="00101AA7" w:rsidP="000B18E5">
      <w:pPr>
        <w:pStyle w:val="NoSpacing"/>
      </w:pPr>
      <w:r w:rsidRPr="00BB3634">
        <w:t xml:space="preserve">Presence is relevant to a reasonable expectation of privacy inquiry. However, its relevance, when the claim is purely territorial, lies in its potential, depending on the circumstances, to support a finding that the individual claiming the privacy interest has some kind of control over who could access or remain on the property. Physical presence may be evidence of control: </w:t>
      </w:r>
      <w:r w:rsidRPr="00BB3634">
        <w:rPr>
          <w:i/>
        </w:rPr>
        <w:t xml:space="preserve">Le </w:t>
      </w:r>
      <w:r w:rsidRPr="00BB3634">
        <w:t>at para 54 </w:t>
      </w:r>
    </w:p>
    <w:p w14:paraId="713EF1A2" w14:textId="0E0E0F6C" w:rsidR="004D5910" w:rsidRDefault="004D5910" w:rsidP="000B18E5">
      <w:pPr>
        <w:pStyle w:val="NoSpacing"/>
      </w:pPr>
    </w:p>
    <w:p w14:paraId="4C724E5E" w14:textId="58354576" w:rsidR="00DC5155" w:rsidRDefault="00DC5155" w:rsidP="000B18E5">
      <w:pPr>
        <w:pStyle w:val="NoSpacing"/>
      </w:pPr>
    </w:p>
    <w:p w14:paraId="0EB6AD7E" w14:textId="5AB559AA" w:rsidR="00DC5155" w:rsidRDefault="00DC5155" w:rsidP="000B18E5">
      <w:pPr>
        <w:pStyle w:val="NoSpacing"/>
      </w:pPr>
    </w:p>
    <w:p w14:paraId="7A3DB7E1" w14:textId="2809B7B2" w:rsidR="00DC5155" w:rsidRDefault="00DC5155" w:rsidP="000B18E5">
      <w:pPr>
        <w:pStyle w:val="NoSpacing"/>
      </w:pPr>
    </w:p>
    <w:p w14:paraId="17D8F5D1" w14:textId="77777777" w:rsidR="00DC5155" w:rsidRPr="00BB3634" w:rsidRDefault="00DC5155" w:rsidP="000B18E5">
      <w:pPr>
        <w:pStyle w:val="NoSpacing"/>
      </w:pPr>
    </w:p>
    <w:p w14:paraId="1954F50B" w14:textId="1319E56A" w:rsidR="004D5910" w:rsidRPr="00BB3634" w:rsidRDefault="004D5910" w:rsidP="007A6720">
      <w:pPr>
        <w:pStyle w:val="Heading3"/>
      </w:pPr>
      <w:bookmarkStart w:id="29" w:name="_Toc94360116"/>
      <w:r w:rsidRPr="00BB3634">
        <w:lastRenderedPageBreak/>
        <w:t>Informational Context</w:t>
      </w:r>
      <w:bookmarkEnd w:id="29"/>
    </w:p>
    <w:p w14:paraId="28E25F5D" w14:textId="77777777" w:rsidR="001E537F" w:rsidRPr="00BB3634" w:rsidRDefault="001E537F" w:rsidP="000B18E5">
      <w:pPr>
        <w:pStyle w:val="NoSpacing"/>
      </w:pPr>
    </w:p>
    <w:p w14:paraId="37250D1B" w14:textId="3DCB89F7" w:rsidR="00BF14D7" w:rsidRPr="00BB3634" w:rsidRDefault="00BF14D7" w:rsidP="000B18E5">
      <w:pPr>
        <w:pStyle w:val="NoSpacing"/>
      </w:pPr>
      <w:r w:rsidRPr="00BB3634">
        <w:t xml:space="preserve">For a thorough review of the jurisprudence on reasonable expectation of </w:t>
      </w:r>
      <w:r w:rsidR="004D5910" w:rsidRPr="00BB3634">
        <w:t>privacy</w:t>
      </w:r>
      <w:r w:rsidRPr="00BB3634">
        <w:t>, particularly in the context of informational privacy, see </w:t>
      </w:r>
      <w:r w:rsidRPr="00BB3634">
        <w:rPr>
          <w:i/>
        </w:rPr>
        <w:t>R v Orlandis-Habsburgo, </w:t>
      </w:r>
      <w:hyperlink r:id="rId88" w:tgtFrame="_blank" w:history="1">
        <w:r w:rsidRPr="00BB3634">
          <w:rPr>
            <w:u w:val="single"/>
          </w:rPr>
          <w:t>2017 ONCA 649 </w:t>
        </w:r>
      </w:hyperlink>
      <w:r w:rsidRPr="00BB3634">
        <w:t>at paras 39-115; see also </w:t>
      </w:r>
      <w:r w:rsidRPr="00BB3634">
        <w:rPr>
          <w:i/>
        </w:rPr>
        <w:t>R v Marakah, </w:t>
      </w:r>
      <w:hyperlink r:id="rId89" w:tgtFrame="_blank" w:history="1">
        <w:r w:rsidRPr="00BB3634">
          <w:rPr>
            <w:u w:val="single"/>
          </w:rPr>
          <w:t>2016 ONCA 542</w:t>
        </w:r>
      </w:hyperlink>
      <w:r w:rsidRPr="00BB3634">
        <w:t> at paras 46-56</w:t>
      </w:r>
    </w:p>
    <w:p w14:paraId="23748579" w14:textId="77777777" w:rsidR="00BF14D7" w:rsidRPr="00BB3634" w:rsidRDefault="00BF14D7" w:rsidP="000B18E5">
      <w:pPr>
        <w:pStyle w:val="NoSpacing"/>
      </w:pPr>
      <w:r w:rsidRPr="00BB3634">
        <w:t>​</w:t>
      </w:r>
    </w:p>
    <w:p w14:paraId="4831436E" w14:textId="77777777" w:rsidR="00BF14D7" w:rsidRPr="00BB3634" w:rsidRDefault="00BF14D7" w:rsidP="000B18E5">
      <w:pPr>
        <w:pStyle w:val="NoSpacing"/>
      </w:pPr>
      <w:r w:rsidRPr="00BB3634">
        <w:t>In the informational context, s.8 of the Charter protects “a biographical core” of information that “tends to reveal intimate details of the lifestyle and personal choices of the individual.” A physical address does not, of itself, reveal intimate details about one’s personal choices or way of life. Ordinarily, it is publicly available information: </w:t>
      </w:r>
      <w:r w:rsidRPr="00BB3634">
        <w:rPr>
          <w:i/>
        </w:rPr>
        <w:t>R v Saciragic</w:t>
      </w:r>
      <w:r w:rsidRPr="00BB3634">
        <w:t>, </w:t>
      </w:r>
      <w:hyperlink r:id="rId90" w:tgtFrame="_blank" w:history="1">
        <w:r w:rsidRPr="00BB3634">
          <w:rPr>
            <w:u w:val="single"/>
          </w:rPr>
          <w:t>2017 ONCA 91</w:t>
        </w:r>
      </w:hyperlink>
      <w:r w:rsidRPr="00BB3634">
        <w:t> </w:t>
      </w:r>
    </w:p>
    <w:p w14:paraId="24F4AFF3" w14:textId="77777777" w:rsidR="00BF14D7" w:rsidRPr="00BB3634" w:rsidRDefault="00BF14D7" w:rsidP="000B18E5">
      <w:pPr>
        <w:pStyle w:val="NoSpacing"/>
      </w:pPr>
      <w:r w:rsidRPr="00BB3634">
        <w:t>​</w:t>
      </w:r>
    </w:p>
    <w:p w14:paraId="02F3200D" w14:textId="26F635AD" w:rsidR="004D5910" w:rsidRPr="00BB3634" w:rsidRDefault="004D5910" w:rsidP="000B18E5">
      <w:pPr>
        <w:pStyle w:val="NoSpacing"/>
      </w:pPr>
      <w:r w:rsidRPr="00BB3634">
        <w:t xml:space="preserve">Depending on the totality of the circumstances, an accused person may retain a reasonable expectation of privacy in text messages that have been sent to another person’s phone and subsequently obtained by the police: </w:t>
      </w:r>
      <w:r w:rsidRPr="00BB3634">
        <w:rPr>
          <w:i/>
        </w:rPr>
        <w:t>R. v. Marakah</w:t>
      </w:r>
      <w:r w:rsidRPr="00BB3634">
        <w:t xml:space="preserve">, </w:t>
      </w:r>
      <w:hyperlink r:id="rId91" w:history="1">
        <w:r w:rsidRPr="00BB3634">
          <w:t>2017 SCC 59</w:t>
        </w:r>
      </w:hyperlink>
      <w:r w:rsidR="005A42C2" w:rsidRPr="00BB3634">
        <w:t xml:space="preserve">; </w:t>
      </w:r>
      <w:r w:rsidR="005A42C2" w:rsidRPr="00BB3634">
        <w:rPr>
          <w:i/>
        </w:rPr>
        <w:t xml:space="preserve">R v Ritchie, </w:t>
      </w:r>
      <w:hyperlink r:id="rId92" w:history="1">
        <w:r w:rsidR="005A42C2" w:rsidRPr="00BB3634">
          <w:rPr>
            <w:rStyle w:val="Hyperlink"/>
          </w:rPr>
          <w:t xml:space="preserve">2018 ONCA </w:t>
        </w:r>
        <w:r w:rsidR="00805532" w:rsidRPr="00BB3634">
          <w:rPr>
            <w:rStyle w:val="Hyperlink"/>
          </w:rPr>
          <w:t>918</w:t>
        </w:r>
      </w:hyperlink>
    </w:p>
    <w:p w14:paraId="04FFE6E2" w14:textId="77777777" w:rsidR="00F9425E" w:rsidRPr="00BB3634" w:rsidRDefault="00F9425E" w:rsidP="000B18E5">
      <w:pPr>
        <w:pStyle w:val="NoSpacing"/>
      </w:pPr>
    </w:p>
    <w:p w14:paraId="35290D61" w14:textId="4034F149" w:rsidR="004D5910" w:rsidRPr="00BB3634" w:rsidRDefault="00F9425E" w:rsidP="000B18E5">
      <w:pPr>
        <w:pStyle w:val="NoSpacing"/>
      </w:pPr>
      <w:r w:rsidRPr="00BB3634">
        <w:t xml:space="preserve">It is objectively reasonable for the sender of a text message to expect that a service provider will maintain privacy over the records of his or her text messages stored in its infrastructure: </w:t>
      </w:r>
      <w:r w:rsidRPr="00BB3634">
        <w:rPr>
          <w:i/>
        </w:rPr>
        <w:t>R v Jones</w:t>
      </w:r>
      <w:hyperlink r:id="rId93" w:history="1">
        <w:r w:rsidRPr="00BB3634">
          <w:t>, 2017 SCC 60</w:t>
        </w:r>
      </w:hyperlink>
    </w:p>
    <w:p w14:paraId="4A1957E2" w14:textId="494D5530" w:rsidR="00D9405F" w:rsidRPr="00BB3634" w:rsidRDefault="00D9405F" w:rsidP="000B18E5">
      <w:pPr>
        <w:pStyle w:val="NoSpacing"/>
      </w:pPr>
    </w:p>
    <w:p w14:paraId="1DCF3E47" w14:textId="1092F838" w:rsidR="00D9405F" w:rsidRPr="00BB3634" w:rsidRDefault="00D9405F" w:rsidP="000B18E5">
      <w:pPr>
        <w:pStyle w:val="NoSpacing"/>
      </w:pPr>
      <w:r w:rsidRPr="00BB3634">
        <w:t>An individual has no reasonable expectation of privacy when communicating with a child stranger on the internet</w:t>
      </w:r>
    </w:p>
    <w:p w14:paraId="71493630" w14:textId="20B0B1F8" w:rsidR="00D9405F" w:rsidRPr="00BB3634" w:rsidRDefault="00D9405F" w:rsidP="000B18E5">
      <w:pPr>
        <w:pStyle w:val="NoSpacing"/>
      </w:pPr>
    </w:p>
    <w:p w14:paraId="35A84B8A" w14:textId="0FA4A30C" w:rsidR="00D9405F" w:rsidRPr="00BB3634" w:rsidRDefault="00D9405F" w:rsidP="000B18E5">
      <w:pPr>
        <w:pStyle w:val="NoSpacing"/>
      </w:pPr>
      <w:r w:rsidRPr="00BB3634">
        <w:t xml:space="preserve">Where no reasonable expectation of privacy exist, a communication cannot be said to be a “private communication” within part VI of the Criminal Code of Canada: </w:t>
      </w:r>
      <w:r w:rsidRPr="00BB3634">
        <w:rPr>
          <w:i/>
        </w:rPr>
        <w:t xml:space="preserve">R v Myers, </w:t>
      </w:r>
      <w:hyperlink r:id="rId94" w:history="1">
        <w:r w:rsidRPr="00BB3634">
          <w:rPr>
            <w:rStyle w:val="Hyperlink"/>
          </w:rPr>
          <w:t>2019 SCC 22</w:t>
        </w:r>
      </w:hyperlink>
    </w:p>
    <w:p w14:paraId="36C9F558" w14:textId="77777777" w:rsidR="00D9405F" w:rsidRPr="00BB3634" w:rsidRDefault="00D9405F" w:rsidP="000B18E5">
      <w:pPr>
        <w:pStyle w:val="NoSpacing"/>
      </w:pPr>
    </w:p>
    <w:p w14:paraId="47A4B3B2" w14:textId="77777777" w:rsidR="00F9425E" w:rsidRPr="00BB3634" w:rsidRDefault="00F9425E" w:rsidP="000B18E5">
      <w:pPr>
        <w:pStyle w:val="NoSpacing"/>
      </w:pPr>
    </w:p>
    <w:p w14:paraId="44215615" w14:textId="27FBDECD" w:rsidR="004D5910" w:rsidRPr="00BB3634" w:rsidRDefault="004D5910" w:rsidP="007A6720">
      <w:pPr>
        <w:pStyle w:val="Heading3"/>
      </w:pPr>
      <w:bookmarkStart w:id="30" w:name="_Toc94360117"/>
      <w:r w:rsidRPr="00BB3634">
        <w:t>Specific Examples</w:t>
      </w:r>
      <w:bookmarkEnd w:id="30"/>
    </w:p>
    <w:p w14:paraId="1633EA08" w14:textId="77777777" w:rsidR="00B022DD" w:rsidRPr="00BB3634" w:rsidRDefault="00B022DD" w:rsidP="000B18E5">
      <w:pPr>
        <w:pStyle w:val="NoSpacing"/>
      </w:pPr>
    </w:p>
    <w:p w14:paraId="162519BE" w14:textId="285955E2" w:rsidR="004D5910" w:rsidRPr="00BB3634" w:rsidRDefault="004D5910" w:rsidP="00BB3634">
      <w:pPr>
        <w:pStyle w:val="Heading4"/>
        <w:spacing w:line="276" w:lineRule="auto"/>
        <w:rPr>
          <w:rFonts w:cs="Arial"/>
          <w:sz w:val="24"/>
          <w:szCs w:val="24"/>
        </w:rPr>
      </w:pPr>
      <w:r w:rsidRPr="00BB3634">
        <w:rPr>
          <w:rFonts w:cs="Arial"/>
          <w:sz w:val="24"/>
          <w:szCs w:val="24"/>
        </w:rPr>
        <w:t>In Public</w:t>
      </w:r>
    </w:p>
    <w:p w14:paraId="06407A00" w14:textId="77777777" w:rsidR="004D5910" w:rsidRPr="00BB3634" w:rsidRDefault="004D5910" w:rsidP="00BB3634">
      <w:pPr>
        <w:spacing w:line="276" w:lineRule="auto"/>
        <w:rPr>
          <w:rFonts w:ascii="Arial" w:hAnsi="Arial" w:cs="Arial"/>
        </w:rPr>
      </w:pPr>
    </w:p>
    <w:p w14:paraId="60A5E9F4" w14:textId="60C8F5F6" w:rsidR="00B022DD" w:rsidRPr="00BB3634" w:rsidRDefault="00B022DD" w:rsidP="000B18E5">
      <w:pPr>
        <w:pStyle w:val="NoSpacing"/>
      </w:pPr>
      <w:r w:rsidRPr="00BB3634">
        <w:t xml:space="preserve">For the purpose of s.162(1)(c) [voyeurism], “[i]f a person is in a public place, fully clothed and not engaged in toileting or sexual activity, they will normally not be in </w:t>
      </w:r>
      <w:r w:rsidRPr="00BB3634">
        <w:lastRenderedPageBreak/>
        <w:t xml:space="preserve">circumstances that give rise to a reasonable expectation of privacy. This includes a school setting: </w:t>
      </w:r>
      <w:r w:rsidRPr="00BB3634">
        <w:rPr>
          <w:i/>
        </w:rPr>
        <w:t xml:space="preserve">R v Jarvis, </w:t>
      </w:r>
      <w:hyperlink r:id="rId95" w:history="1">
        <w:r w:rsidRPr="00BB3634">
          <w:rPr>
            <w:rStyle w:val="Hyperlink"/>
          </w:rPr>
          <w:t>2017 ONCA 778</w:t>
        </w:r>
      </w:hyperlink>
      <w:r w:rsidRPr="00BB3634">
        <w:t xml:space="preserve"> at para 108</w:t>
      </w:r>
    </w:p>
    <w:p w14:paraId="4EDC7B8D" w14:textId="77777777" w:rsidR="004D5910" w:rsidRPr="00BB3634" w:rsidRDefault="004D5910" w:rsidP="000B18E5">
      <w:pPr>
        <w:pStyle w:val="NoSpacing"/>
      </w:pPr>
    </w:p>
    <w:p w14:paraId="0C1F3291" w14:textId="6F4E97E8" w:rsidR="00BF14D7" w:rsidRPr="00BB3634" w:rsidRDefault="00BF14D7" w:rsidP="00BB3634">
      <w:pPr>
        <w:pStyle w:val="Heading4"/>
        <w:spacing w:line="276" w:lineRule="auto"/>
        <w:rPr>
          <w:rFonts w:cs="Arial"/>
          <w:sz w:val="24"/>
          <w:szCs w:val="24"/>
        </w:rPr>
      </w:pPr>
      <w:r w:rsidRPr="00BB3634">
        <w:rPr>
          <w:rFonts w:cs="Arial"/>
          <w:sz w:val="24"/>
          <w:szCs w:val="24"/>
        </w:rPr>
        <w:t>​</w:t>
      </w:r>
      <w:r w:rsidR="004D5910" w:rsidRPr="00BB3634">
        <w:rPr>
          <w:rFonts w:cs="Arial"/>
          <w:sz w:val="24"/>
          <w:szCs w:val="24"/>
        </w:rPr>
        <w:t>In another person’s home</w:t>
      </w:r>
    </w:p>
    <w:p w14:paraId="35BEAF0F" w14:textId="77777777" w:rsidR="004D5910" w:rsidRPr="00BB3634" w:rsidRDefault="004D5910" w:rsidP="00BB3634">
      <w:pPr>
        <w:spacing w:line="276" w:lineRule="auto"/>
        <w:rPr>
          <w:rFonts w:ascii="Arial" w:hAnsi="Arial" w:cs="Arial"/>
        </w:rPr>
      </w:pPr>
    </w:p>
    <w:p w14:paraId="2DD8F86D" w14:textId="026E3700" w:rsidR="00BF14D7" w:rsidRPr="00BB3634" w:rsidRDefault="00BF14D7" w:rsidP="000B18E5">
      <w:pPr>
        <w:pStyle w:val="NoSpacing"/>
      </w:pPr>
      <w:r w:rsidRPr="00BB3634">
        <w:t xml:space="preserve">Factors relevant to the question of "standing" to challenge a search of </w:t>
      </w:r>
      <w:r w:rsidR="004D5910" w:rsidRPr="00BB3634">
        <w:t>another</w:t>
      </w:r>
      <w:r w:rsidRPr="00BB3634">
        <w:t xml:space="preserve"> person's home include whether the accused: is a tenant​; has a house key; gets mail at the residence; is present when the warrant occurred testified about a reasonable expectation of privacy in the home: </w:t>
      </w:r>
      <w:r w:rsidRPr="00BB3634">
        <w:rPr>
          <w:i/>
        </w:rPr>
        <w:t>R v Henry, </w:t>
      </w:r>
      <w:hyperlink r:id="rId96" w:tgtFrame="_blank" w:history="1">
        <w:r w:rsidRPr="00BB3634">
          <w:rPr>
            <w:u w:val="single"/>
          </w:rPr>
          <w:t>2016 ONCA 873</w:t>
        </w:r>
      </w:hyperlink>
      <w:r w:rsidRPr="00BB3634">
        <w:t> at paras 6-7</w:t>
      </w:r>
    </w:p>
    <w:p w14:paraId="77BF4B2E" w14:textId="77777777" w:rsidR="00BF14D7" w:rsidRPr="00BB3634" w:rsidRDefault="00BF14D7" w:rsidP="000B18E5">
      <w:pPr>
        <w:pStyle w:val="NoSpacing"/>
      </w:pPr>
      <w:r w:rsidRPr="00BB3634">
        <w:t>​</w:t>
      </w:r>
    </w:p>
    <w:p w14:paraId="00B41EE6" w14:textId="77777777" w:rsidR="00BF14D7" w:rsidRPr="00BB3634" w:rsidRDefault="00BF14D7" w:rsidP="000B18E5">
      <w:pPr>
        <w:pStyle w:val="NoSpacing"/>
      </w:pPr>
      <w:r w:rsidRPr="00BB3634">
        <w:t>A finding of constructive possession is not inconsistent with a finding that an accused has no standing to advance a section 8 argument in relation to a search of the premises where drugs were found: </w:t>
      </w:r>
      <w:r w:rsidRPr="00BB3634">
        <w:rPr>
          <w:i/>
        </w:rPr>
        <w:t>R v Qiang Wu, </w:t>
      </w:r>
      <w:hyperlink r:id="rId97" w:tgtFrame="_blank" w:history="1">
        <w:r w:rsidRPr="00BB3634">
          <w:rPr>
            <w:u w:val="single"/>
          </w:rPr>
          <w:t>2017 ONCA 620</w:t>
        </w:r>
      </w:hyperlink>
      <w:r w:rsidRPr="00BB3634">
        <w:t> at paras 23-25</w:t>
      </w:r>
    </w:p>
    <w:p w14:paraId="6A664910" w14:textId="77777777" w:rsidR="0066777E" w:rsidRPr="00BB3634" w:rsidRDefault="0066777E" w:rsidP="000B18E5">
      <w:pPr>
        <w:pStyle w:val="NoSpacing"/>
      </w:pPr>
    </w:p>
    <w:p w14:paraId="6BDA855A" w14:textId="1278DC53" w:rsidR="0066777E" w:rsidRPr="00BB3634" w:rsidRDefault="0066777E" w:rsidP="000B18E5">
      <w:pPr>
        <w:pStyle w:val="NoSpacing"/>
      </w:pPr>
      <w:r w:rsidRPr="00BB3634">
        <w:t xml:space="preserve">In </w:t>
      </w:r>
      <w:r w:rsidRPr="00BB3634">
        <w:rPr>
          <w:i/>
        </w:rPr>
        <w:t xml:space="preserve">Duong, </w:t>
      </w:r>
      <w:r w:rsidRPr="00BB3634">
        <w:t>the Court of A</w:t>
      </w:r>
      <w:r w:rsidR="004D5910" w:rsidRPr="00BB3634">
        <w:t>ppeal held that the factors of p</w:t>
      </w:r>
      <w:r w:rsidRPr="00BB3634">
        <w:t xml:space="preserve">ossession and control of a dwelling house are undermined where an elaborate fraud was used to obtain possession. The factor of historical use of a property was also undermined where the property was not used as a residence but as a meth lab to be later discarded. The ability to regulate access was undermined where the possessors had no legal right to do so: </w:t>
      </w:r>
      <w:r w:rsidRPr="00BB3634">
        <w:rPr>
          <w:i/>
        </w:rPr>
        <w:t xml:space="preserve">R v Duong, </w:t>
      </w:r>
      <w:hyperlink r:id="rId98" w:history="1">
        <w:r w:rsidRPr="00BB3634">
          <w:rPr>
            <w:rStyle w:val="Hyperlink"/>
          </w:rPr>
          <w:t>2018 ONCA 115</w:t>
        </w:r>
      </w:hyperlink>
      <w:r w:rsidRPr="00BB3634">
        <w:t xml:space="preserve"> at para 6</w:t>
      </w:r>
    </w:p>
    <w:p w14:paraId="19120259" w14:textId="77777777" w:rsidR="00BF14D7" w:rsidRPr="00BB3634" w:rsidRDefault="00BF14D7" w:rsidP="000B18E5">
      <w:pPr>
        <w:pStyle w:val="NoSpacing"/>
      </w:pPr>
      <w:r w:rsidRPr="00BB3634">
        <w:t>​</w:t>
      </w:r>
    </w:p>
    <w:p w14:paraId="352687BB" w14:textId="4E2295DF" w:rsidR="004D5910" w:rsidRPr="00BB3634" w:rsidRDefault="00101AA7" w:rsidP="000B18E5">
      <w:pPr>
        <w:pStyle w:val="NoSpacing"/>
      </w:pPr>
      <w:r w:rsidRPr="00BB3634">
        <w:t xml:space="preserve">In </w:t>
      </w:r>
      <w:r w:rsidRPr="00BB3634">
        <w:rPr>
          <w:i/>
        </w:rPr>
        <w:t xml:space="preserve">Le, </w:t>
      </w:r>
      <w:hyperlink r:id="rId99" w:history="1">
        <w:r w:rsidR="00FF734E" w:rsidRPr="00BB3634">
          <w:rPr>
            <w:rStyle w:val="Hyperlink"/>
          </w:rPr>
          <w:t>2018 ONCA 56</w:t>
        </w:r>
      </w:hyperlink>
      <w:r w:rsidR="00FF734E" w:rsidRPr="00BB3634">
        <w:t xml:space="preserve">, </w:t>
      </w:r>
      <w:r w:rsidRPr="00BB3634">
        <w:t xml:space="preserve">the Court of Appeal held that the accused did not have a reasonable expectation of privacy in the backyard of his neighbour’s home. Though an invited guest, Mr. Le did not have control over who could access and remain on the property. </w:t>
      </w:r>
    </w:p>
    <w:p w14:paraId="1FDC5FC9" w14:textId="77777777" w:rsidR="007423C7" w:rsidRPr="00BB3634" w:rsidRDefault="007423C7" w:rsidP="000B18E5">
      <w:pPr>
        <w:pStyle w:val="NoSpacing"/>
      </w:pPr>
    </w:p>
    <w:p w14:paraId="7621ABD1" w14:textId="13164AE7" w:rsidR="00BF14D7" w:rsidRPr="00BB3634" w:rsidRDefault="00BF14D7" w:rsidP="00BB3634">
      <w:pPr>
        <w:spacing w:line="276" w:lineRule="auto"/>
        <w:textAlignment w:val="baseline"/>
        <w:rPr>
          <w:rFonts w:ascii="Arial" w:hAnsi="Arial" w:cs="Arial"/>
          <w:bdr w:val="none" w:sz="0" w:space="0" w:color="auto" w:frame="1"/>
        </w:rPr>
      </w:pPr>
      <w:r w:rsidRPr="00BB3634">
        <w:rPr>
          <w:rFonts w:ascii="Arial" w:hAnsi="Arial" w:cs="Arial"/>
          <w:bdr w:val="none" w:sz="0" w:space="0" w:color="auto" w:frame="1"/>
        </w:rPr>
        <w:t>​</w:t>
      </w:r>
    </w:p>
    <w:p w14:paraId="7CDF8D51" w14:textId="1FB1816B" w:rsidR="00E636BF" w:rsidRPr="00BB3634" w:rsidRDefault="00E636BF" w:rsidP="00BB3634">
      <w:pPr>
        <w:pStyle w:val="Heading4"/>
        <w:spacing w:line="276" w:lineRule="auto"/>
        <w:rPr>
          <w:rFonts w:cs="Arial"/>
          <w:sz w:val="24"/>
          <w:szCs w:val="24"/>
        </w:rPr>
      </w:pPr>
      <w:r w:rsidRPr="00BB3634">
        <w:rPr>
          <w:rFonts w:cs="Arial"/>
          <w:sz w:val="24"/>
          <w:szCs w:val="24"/>
        </w:rPr>
        <w:t>In Informational Content</w:t>
      </w:r>
    </w:p>
    <w:p w14:paraId="530270E2" w14:textId="77777777" w:rsidR="00E636BF" w:rsidRPr="00BB3634" w:rsidRDefault="00E636BF" w:rsidP="00BB3634">
      <w:pPr>
        <w:spacing w:line="276" w:lineRule="auto"/>
        <w:rPr>
          <w:rFonts w:ascii="Arial" w:hAnsi="Arial" w:cs="Arial"/>
        </w:rPr>
      </w:pPr>
    </w:p>
    <w:p w14:paraId="6EB04F4A" w14:textId="094BA099" w:rsidR="00E636BF" w:rsidRPr="00BB3634" w:rsidRDefault="00E636BF" w:rsidP="000B18E5">
      <w:pPr>
        <w:pStyle w:val="NoSpacing"/>
      </w:pPr>
      <w:r w:rsidRPr="00BB3634">
        <w:t xml:space="preserve">In </w:t>
      </w:r>
      <w:r w:rsidRPr="00BB3634">
        <w:rPr>
          <w:i/>
        </w:rPr>
        <w:t xml:space="preserve">Saciragic, </w:t>
      </w:r>
      <w:r w:rsidRPr="00BB3634">
        <w:t xml:space="preserve">the Court of Appeal held that the Appellant did not have a reasonable expectation of privacy in his fob data, holding that “the appellant made use of an apartment unit in a relatively large apartment complex with common areas and video surveillance. There was no evidence to suggest a reasonable expectation that his comings and goings would not be observed by others or recorded digitally, or the fact of these observations divulged to police.” The Court further held that the Appellant did not have a reasonable expectation of privacy in his municipal address, holding that “A physical address does not, of itself, reveal intimate details about one's personal choices or way of life, and, </w:t>
      </w:r>
      <w:r w:rsidRPr="00BB3634">
        <w:lastRenderedPageBreak/>
        <w:t xml:space="preserve">ordinarily, it is publicly available information to which many people have access:” </w:t>
      </w:r>
      <w:r w:rsidRPr="00BB3634">
        <w:rPr>
          <w:i/>
        </w:rPr>
        <w:t xml:space="preserve">R v Saciragic, </w:t>
      </w:r>
      <w:r w:rsidRPr="00BB3634">
        <w:t>2017 ONCA 91</w:t>
      </w:r>
    </w:p>
    <w:p w14:paraId="1EF5AAFD" w14:textId="77777777" w:rsidR="00945C0D" w:rsidRPr="00BB3634" w:rsidRDefault="00945C0D" w:rsidP="000B18E5">
      <w:pPr>
        <w:pStyle w:val="NoSpacing"/>
      </w:pPr>
    </w:p>
    <w:p w14:paraId="49C44AA9" w14:textId="77777777" w:rsidR="00945C0D" w:rsidRPr="00BB3634" w:rsidRDefault="00945C0D" w:rsidP="000B18E5">
      <w:pPr>
        <w:pStyle w:val="NoSpacing"/>
      </w:pPr>
      <w:r w:rsidRPr="00BB3634">
        <w:t xml:space="preserve">In </w:t>
      </w:r>
      <w:r w:rsidRPr="00BB3634">
        <w:rPr>
          <w:i/>
        </w:rPr>
        <w:t xml:space="preserve">R v Law, </w:t>
      </w:r>
      <w:r w:rsidRPr="00BB3634">
        <w:t xml:space="preserve">2017 BCSC 1241, the British Columbia Superior Court came to the same conclusion, and further held that the appellant did not have a reasonable expectation of privacy in the surveillance/CCTV footage of the hallway of his apartment building. This case also reviewed jurisprudence on reasonable expectations of privacy with respect to smells and sounds coming from inside an apartment.  </w:t>
      </w:r>
    </w:p>
    <w:p w14:paraId="2F622DF7" w14:textId="77777777" w:rsidR="00945C0D" w:rsidRPr="00BB3634" w:rsidRDefault="00945C0D" w:rsidP="000B18E5">
      <w:pPr>
        <w:pStyle w:val="NoSpacing"/>
      </w:pPr>
    </w:p>
    <w:p w14:paraId="446EA882" w14:textId="49F0F049" w:rsidR="00945C0D" w:rsidRPr="00BB3634" w:rsidRDefault="00945C0D" w:rsidP="000B18E5">
      <w:pPr>
        <w:pStyle w:val="NoSpacing"/>
      </w:pPr>
      <w:r w:rsidRPr="00BB3634">
        <w:t xml:space="preserve">In </w:t>
      </w:r>
      <w:r w:rsidRPr="00BB3634">
        <w:rPr>
          <w:i/>
        </w:rPr>
        <w:t xml:space="preserve">R v White, </w:t>
      </w:r>
      <w:r w:rsidRPr="00BB3634">
        <w:t>2015 ONCA 508, the Ontario Court of Appeal excluded e</w:t>
      </w:r>
      <w:r w:rsidR="00161A59" w:rsidRPr="00BB3634">
        <w:t>vidence of police observations made from common areas of things occurring inside, as well as items inside a storage locker in the locker room, reasoning that it “a</w:t>
      </w:r>
      <w:r w:rsidRPr="00BB3634">
        <w:t>lthough the respondent did not have absolute control over access to the building, it was reasonable for him to expect that the building's security system would operate to exclude strangers, including the police, from entering the common areas of his building several times without permission or invitation and investigating at their leisure. It was reasonable for him to assume that although access to the building's storage area was not regulated, it was not open to the general public. And it was reasonable for him to assume that people would not be hiding in stairwells to observe the comings and goings and overhear the conversations and actions within his unit.</w:t>
      </w:r>
    </w:p>
    <w:p w14:paraId="3B3F08BF" w14:textId="77777777" w:rsidR="00F553A9" w:rsidRPr="00BB3634" w:rsidRDefault="00F553A9" w:rsidP="000B18E5">
      <w:pPr>
        <w:pStyle w:val="NoSpacing"/>
      </w:pPr>
    </w:p>
    <w:p w14:paraId="77BEAE40" w14:textId="523AB2DF" w:rsidR="00E636BF" w:rsidRPr="00BB3634" w:rsidRDefault="00FF734E" w:rsidP="000B18E5">
      <w:pPr>
        <w:pStyle w:val="NoSpacing"/>
      </w:pPr>
      <w:r w:rsidRPr="00BB3634">
        <w:t xml:space="preserve">In </w:t>
      </w:r>
      <w:r w:rsidRPr="00BB3634">
        <w:rPr>
          <w:i/>
        </w:rPr>
        <w:t xml:space="preserve">Balendra, </w:t>
      </w:r>
      <w:r w:rsidRPr="00BB3634">
        <w:t xml:space="preserve">the Court of Appeal confirmed that a person has a reasonable expectation of privacy in the content of a USB found in his pocket during a search incident to arrest: </w:t>
      </w:r>
      <w:r w:rsidRPr="00BB3634">
        <w:rPr>
          <w:i/>
        </w:rPr>
        <w:t xml:space="preserve">R v Balendra, </w:t>
      </w:r>
      <w:hyperlink r:id="rId100" w:history="1">
        <w:r w:rsidRPr="00BB3634">
          <w:rPr>
            <w:rStyle w:val="Hyperlink"/>
          </w:rPr>
          <w:t>2019 ONCA 68</w:t>
        </w:r>
      </w:hyperlink>
      <w:r w:rsidRPr="00BB3634">
        <w:t>, at paras 35-38</w:t>
      </w:r>
    </w:p>
    <w:p w14:paraId="30ECEF9A" w14:textId="0CB0B194" w:rsidR="00CD7DA0" w:rsidRPr="00BB3634" w:rsidRDefault="00CD7DA0" w:rsidP="000B18E5">
      <w:pPr>
        <w:pStyle w:val="NoSpacing"/>
      </w:pPr>
    </w:p>
    <w:p w14:paraId="71992AF1" w14:textId="7DC442C3" w:rsidR="00CD7DA0" w:rsidRPr="00BB3634" w:rsidRDefault="00CD7DA0" w:rsidP="000B18E5">
      <w:pPr>
        <w:pStyle w:val="NoSpacing"/>
      </w:pPr>
      <w:r w:rsidRPr="00BB3634">
        <w:t xml:space="preserve">In </w:t>
      </w:r>
      <w:r w:rsidRPr="00BB3634">
        <w:rPr>
          <w:i/>
        </w:rPr>
        <w:t>Campbell</w:t>
      </w:r>
      <w:r w:rsidRPr="00BB3634">
        <w:t xml:space="preserve">, the Court of Appeal upheld the trial judge’s </w:t>
      </w:r>
      <w:r w:rsidRPr="00BB3634">
        <w:rPr>
          <w:i/>
        </w:rPr>
        <w:t>Charter</w:t>
      </w:r>
      <w:r w:rsidRPr="00BB3634">
        <w:t xml:space="preserve"> ruling excluding urine samples obtained from the police as a result of an unlawful police request for the accused’s medical information from a hospital nurse, in circumstances where the police had no reasonable and probable grounds to obtain a warrant for the samples: </w:t>
      </w:r>
      <w:hyperlink r:id="rId101" w:history="1">
        <w:r w:rsidRPr="00BB3634">
          <w:rPr>
            <w:rStyle w:val="Hyperlink"/>
          </w:rPr>
          <w:t>2019 ONCA 258</w:t>
        </w:r>
      </w:hyperlink>
    </w:p>
    <w:p w14:paraId="1E4E89AB" w14:textId="77777777" w:rsidR="00CD7DA0" w:rsidRPr="00BB3634" w:rsidRDefault="00CD7DA0" w:rsidP="000B18E5">
      <w:pPr>
        <w:pStyle w:val="NoSpacing"/>
      </w:pPr>
    </w:p>
    <w:p w14:paraId="2F6069DB" w14:textId="20C9C84F" w:rsidR="00FF734E" w:rsidRPr="00BB3634" w:rsidRDefault="00FF734E" w:rsidP="000B18E5">
      <w:pPr>
        <w:pStyle w:val="NoSpacing"/>
      </w:pPr>
    </w:p>
    <w:p w14:paraId="781638B1" w14:textId="721AEF15" w:rsidR="00FF734E" w:rsidRPr="00BB3634" w:rsidRDefault="00FF734E" w:rsidP="00BB3634">
      <w:pPr>
        <w:pStyle w:val="Heading4"/>
        <w:spacing w:line="276" w:lineRule="auto"/>
        <w:rPr>
          <w:rFonts w:cs="Arial"/>
          <w:sz w:val="24"/>
          <w:szCs w:val="24"/>
        </w:rPr>
      </w:pPr>
      <w:r w:rsidRPr="00BB3634">
        <w:rPr>
          <w:rFonts w:cs="Arial"/>
          <w:sz w:val="24"/>
          <w:szCs w:val="24"/>
        </w:rPr>
        <w:t>In Stolen Property</w:t>
      </w:r>
    </w:p>
    <w:p w14:paraId="0E52F756" w14:textId="1FE757B7" w:rsidR="00FF734E" w:rsidRPr="00BB3634" w:rsidRDefault="00FF734E" w:rsidP="00BB3634">
      <w:pPr>
        <w:spacing w:line="276" w:lineRule="auto"/>
        <w:rPr>
          <w:rFonts w:ascii="Arial" w:hAnsi="Arial" w:cs="Arial"/>
        </w:rPr>
      </w:pPr>
    </w:p>
    <w:p w14:paraId="5EFCD705" w14:textId="522B4049" w:rsidR="007423C7" w:rsidRPr="00BB3634" w:rsidRDefault="00FF734E" w:rsidP="000B18E5">
      <w:pPr>
        <w:pStyle w:val="NoSpacing"/>
      </w:pPr>
      <w:r w:rsidRPr="00BB3634">
        <w:t xml:space="preserve">In </w:t>
      </w:r>
      <w:r w:rsidRPr="00BB3634">
        <w:rPr>
          <w:i/>
        </w:rPr>
        <w:t xml:space="preserve">Balendra, </w:t>
      </w:r>
      <w:r w:rsidRPr="00BB3634">
        <w:t xml:space="preserve">the Court of Appeal held that, absent evidence to the contrary, an individual does not have a reasonable expectation of privacy in a motor vehicle that is stolen because he does not have ability to regulate access to the car or any legitimate privacy interest in it: </w:t>
      </w:r>
      <w:hyperlink r:id="rId102" w:history="1">
        <w:r w:rsidRPr="00BB3634">
          <w:rPr>
            <w:rStyle w:val="Hyperlink"/>
          </w:rPr>
          <w:t>2019 ONCA 68</w:t>
        </w:r>
      </w:hyperlink>
      <w:r w:rsidRPr="00BB3634">
        <w:t>, at paras 53-55</w:t>
      </w:r>
    </w:p>
    <w:p w14:paraId="6ACA68D0" w14:textId="25281871" w:rsidR="0075676A" w:rsidRPr="00BB3634" w:rsidRDefault="0075676A" w:rsidP="00BB3634">
      <w:pPr>
        <w:pStyle w:val="Heading2"/>
        <w:spacing w:line="276" w:lineRule="auto"/>
        <w:rPr>
          <w:rFonts w:cs="Arial"/>
        </w:rPr>
      </w:pPr>
      <w:bookmarkStart w:id="31" w:name="_Toc94360118"/>
      <w:r w:rsidRPr="00BB3634">
        <w:rPr>
          <w:rFonts w:cs="Arial"/>
        </w:rPr>
        <w:lastRenderedPageBreak/>
        <w:t>Ancillary Powers doctrine</w:t>
      </w:r>
      <w:bookmarkEnd w:id="31"/>
    </w:p>
    <w:p w14:paraId="7223DF02" w14:textId="77777777" w:rsidR="0075676A" w:rsidRPr="00BB3634" w:rsidRDefault="0075676A" w:rsidP="00BB3634">
      <w:pPr>
        <w:spacing w:line="276" w:lineRule="auto"/>
        <w:rPr>
          <w:rFonts w:ascii="Arial" w:hAnsi="Arial" w:cs="Arial"/>
        </w:rPr>
      </w:pPr>
    </w:p>
    <w:p w14:paraId="4A182ECC" w14:textId="1BAA8247" w:rsidR="0075676A" w:rsidRPr="00BB3634" w:rsidRDefault="0075676A" w:rsidP="000B18E5">
      <w:pPr>
        <w:pStyle w:val="NoSpacing"/>
      </w:pPr>
      <w:r w:rsidRPr="00BB3634">
        <w:t>In the absence of statutory authority, the common law can provide authority to search or seize a car. For example, in Haflett, the Court of Appeal employed the ancillary powers doctrine to validate the police impounding of a motor vehicle. The Court found that the police common law authority to impound a motor vehicle will arise where, in the circumstances, the ability to impound the vehicle and have it towed away is a reasonable exercise of the police common law duty to prevent crime, to protect the life and property of the public, and to control traffic on the public roads: </w:t>
      </w:r>
      <w:r w:rsidRPr="00BB3634">
        <w:rPr>
          <w:i/>
        </w:rPr>
        <w:t>R v Haflett, </w:t>
      </w:r>
      <w:hyperlink r:id="rId103" w:tgtFrame="_blank" w:history="1">
        <w:r w:rsidRPr="00BB3634">
          <w:rPr>
            <w:rStyle w:val="Hyperlink"/>
            <w:color w:val="auto"/>
          </w:rPr>
          <w:t>2016 ONCA 248</w:t>
        </w:r>
      </w:hyperlink>
      <w:r w:rsidRPr="00BB3634">
        <w:t> at para 23</w:t>
      </w:r>
    </w:p>
    <w:p w14:paraId="006FDDC6" w14:textId="13E23D2C" w:rsidR="00B37131" w:rsidRPr="00BB3634" w:rsidRDefault="00B37131" w:rsidP="000B18E5">
      <w:pPr>
        <w:pStyle w:val="NoSpacing"/>
      </w:pPr>
      <w:r w:rsidRPr="00BB3634">
        <w:t xml:space="preserve">In Wawrykiewycz, the Court of Appeal held that the swabbing of door handles of a car in a public parking lot, and analyzing those swabs using special equipment, was not a search that could be justified under the ancillary powers doctrine, and required prior judicial authorization. </w:t>
      </w:r>
    </w:p>
    <w:p w14:paraId="69517415" w14:textId="77777777" w:rsidR="00B37131" w:rsidRPr="00BB3634" w:rsidRDefault="00B37131" w:rsidP="000B18E5">
      <w:pPr>
        <w:pStyle w:val="NoSpacing"/>
      </w:pPr>
    </w:p>
    <w:p w14:paraId="32C27B2D" w14:textId="0E7C5938" w:rsidR="00B37131" w:rsidRPr="00BB3634" w:rsidRDefault="00B37131" w:rsidP="000B18E5">
      <w:pPr>
        <w:pStyle w:val="NoSpacing"/>
      </w:pPr>
      <w:r w:rsidRPr="00BB3634">
        <w:t xml:space="preserve">The Court reasoned that this investigative technique can reveal intimate details of the lifestyle and personal choices of the individual, for example, whether the appellant had handled cocaine, as well as providing a DNA sample. Though the vehicle was in public view, any residue left by the appellant’s hands was not observable to a passerby and was in this sense private. The appellant had an objective and subjective reasonable expectation of privacy in the car, and more particularly, in the residue left by his hands on the handles of the car he was using: </w:t>
      </w:r>
      <w:r w:rsidRPr="00BB3634">
        <w:rPr>
          <w:i/>
        </w:rPr>
        <w:t xml:space="preserve">R v Wawrykiewycz, </w:t>
      </w:r>
      <w:hyperlink r:id="rId104" w:history="1">
        <w:r w:rsidRPr="00BB3634">
          <w:rPr>
            <w:rStyle w:val="Hyperlink"/>
          </w:rPr>
          <w:t>2020 ONCA 269</w:t>
        </w:r>
      </w:hyperlink>
      <w:r w:rsidRPr="00BB3634">
        <w:t>, at paras 35-45</w:t>
      </w:r>
    </w:p>
    <w:p w14:paraId="6017D1DE" w14:textId="77777777" w:rsidR="0075676A" w:rsidRPr="00BB3634" w:rsidRDefault="0075676A" w:rsidP="00BB3634">
      <w:pPr>
        <w:spacing w:line="276" w:lineRule="auto"/>
        <w:rPr>
          <w:rFonts w:ascii="Arial" w:hAnsi="Arial" w:cs="Arial"/>
        </w:rPr>
      </w:pPr>
    </w:p>
    <w:p w14:paraId="2E598BFE" w14:textId="6FD29899" w:rsidR="00253B35" w:rsidRPr="00BB3634" w:rsidRDefault="00D23AF9" w:rsidP="00BB3634">
      <w:pPr>
        <w:pStyle w:val="Heading2"/>
        <w:spacing w:line="276" w:lineRule="auto"/>
        <w:rPr>
          <w:rFonts w:cs="Arial"/>
        </w:rPr>
      </w:pPr>
      <w:bookmarkStart w:id="32" w:name="_Toc94360119"/>
      <w:r w:rsidRPr="00BB3634">
        <w:rPr>
          <w:rFonts w:cs="Arial"/>
        </w:rPr>
        <w:t>I</w:t>
      </w:r>
      <w:r w:rsidR="00253B35" w:rsidRPr="00BB3634">
        <w:rPr>
          <w:rFonts w:cs="Arial"/>
        </w:rPr>
        <w:t xml:space="preserve">mplied </w:t>
      </w:r>
      <w:r w:rsidRPr="00BB3634">
        <w:rPr>
          <w:rFonts w:cs="Arial"/>
        </w:rPr>
        <w:t>L</w:t>
      </w:r>
      <w:r w:rsidR="00253B35" w:rsidRPr="00BB3634">
        <w:rPr>
          <w:rFonts w:cs="Arial"/>
        </w:rPr>
        <w:t xml:space="preserve">icense </w:t>
      </w:r>
      <w:r w:rsidRPr="00BB3634">
        <w:rPr>
          <w:rFonts w:cs="Arial"/>
        </w:rPr>
        <w:t>D</w:t>
      </w:r>
      <w:r w:rsidR="00253B35" w:rsidRPr="00BB3634">
        <w:rPr>
          <w:rFonts w:cs="Arial"/>
        </w:rPr>
        <w:t>octrine</w:t>
      </w:r>
      <w:bookmarkEnd w:id="32"/>
    </w:p>
    <w:p w14:paraId="3C5C6451" w14:textId="77777777" w:rsidR="00253B35" w:rsidRPr="00BB3634" w:rsidRDefault="00253B35" w:rsidP="00BB3634">
      <w:pPr>
        <w:spacing w:line="276" w:lineRule="auto"/>
        <w:rPr>
          <w:rFonts w:ascii="Arial" w:hAnsi="Arial" w:cs="Arial"/>
        </w:rPr>
      </w:pPr>
    </w:p>
    <w:p w14:paraId="5DB2C169" w14:textId="7F3CFD0E" w:rsidR="00253B35" w:rsidRPr="00BB3634" w:rsidRDefault="00253B35" w:rsidP="000B18E5">
      <w:pPr>
        <w:pStyle w:val="NoSpacing"/>
      </w:pPr>
      <w:r w:rsidRPr="00BB3634">
        <w:t xml:space="preserve">The implied licence doctrine is the common law solution to the clash between police duties and the property rights of the individual. Under that doctrine, property rights or, in constitutional terms, the privacy of the owner/occupier, must yield, but only to the extent needed to allow the police, in the execution of their duties, to go onto the property to make contact with the owner or occupant: </w:t>
      </w:r>
      <w:r w:rsidRPr="00BB3634">
        <w:rPr>
          <w:i/>
        </w:rPr>
        <w:t xml:space="preserve">R v Le, </w:t>
      </w:r>
      <w:hyperlink r:id="rId105" w:history="1">
        <w:r w:rsidRPr="00BB3634">
          <w:rPr>
            <w:rStyle w:val="Hyperlink"/>
          </w:rPr>
          <w:t>2018 ONCA 56</w:t>
        </w:r>
      </w:hyperlink>
      <w:r w:rsidRPr="00BB3634">
        <w:t xml:space="preserve"> at paras 26, 29</w:t>
      </w:r>
    </w:p>
    <w:p w14:paraId="0D395F02" w14:textId="77777777" w:rsidR="00E010B8" w:rsidRPr="00BB3634" w:rsidRDefault="00E010B8" w:rsidP="000B18E5">
      <w:pPr>
        <w:pStyle w:val="NoSpacing"/>
      </w:pPr>
    </w:p>
    <w:p w14:paraId="11EA4AB0" w14:textId="63C9BA4F" w:rsidR="00E010B8" w:rsidRPr="00BB3634" w:rsidRDefault="00E010B8" w:rsidP="000B18E5">
      <w:pPr>
        <w:pStyle w:val="NoSpacing"/>
      </w:pPr>
      <w:r w:rsidRPr="00BB3634">
        <w:t>The occupier of a dwelling gives an implied licence to any member of the public, including police officers, on legitimate business to come to the door of the dwelling and knock. The implied licence can be revoked by, for example, putting up signs prohibiting entry or by locking an entry gate.</w:t>
      </w:r>
    </w:p>
    <w:p w14:paraId="32A7253B" w14:textId="77777777" w:rsidR="00E010B8" w:rsidRPr="00BB3634" w:rsidRDefault="00E010B8" w:rsidP="000B18E5">
      <w:pPr>
        <w:pStyle w:val="NoSpacing"/>
      </w:pPr>
    </w:p>
    <w:p w14:paraId="6FB5ED90" w14:textId="06A777B0" w:rsidR="00E010B8" w:rsidRPr="00BB3634" w:rsidRDefault="00E010B8" w:rsidP="000B18E5">
      <w:pPr>
        <w:pStyle w:val="NoSpacing"/>
      </w:pPr>
      <w:r w:rsidRPr="00BB3634">
        <w:t>Additionally, when members of the public (including police) exceed the terms of the implied licence, they approach the property as intruders. The officer must have a </w:t>
      </w:r>
      <w:r w:rsidRPr="00BB3634">
        <w:rPr>
          <w:i/>
        </w:rPr>
        <w:t xml:space="preserve">bona fide </w:t>
      </w:r>
      <w:r w:rsidRPr="00BB3634">
        <w:t>belief that gives rise to a reasonable suspicion of criminal activity being perpetrated against the owner or occupant or the property. The police officer must be able to demonstrate an objective basis in fact that gives rise to his suspicion. There must be some articulable cause above the level of a mere "hunch", "a constellation of objectively discernible facts which give the detaining officer reasonable cause to suspect that the detainee is criminally implicated in the activity under investigation.</w:t>
      </w:r>
    </w:p>
    <w:p w14:paraId="27318AD0" w14:textId="77777777" w:rsidR="00E010B8" w:rsidRPr="00BB3634" w:rsidRDefault="00E010B8" w:rsidP="000B18E5">
      <w:pPr>
        <w:pStyle w:val="NoSpacing"/>
      </w:pPr>
    </w:p>
    <w:p w14:paraId="46ADD09A" w14:textId="7C6D9ADC" w:rsidR="00E010B8" w:rsidRPr="00BB3634" w:rsidRDefault="0040082A" w:rsidP="000B18E5">
      <w:pPr>
        <w:pStyle w:val="NoSpacing"/>
      </w:pPr>
      <w:r w:rsidRPr="00BB3634">
        <w:t>O</w:t>
      </w:r>
      <w:r w:rsidR="00E010B8" w:rsidRPr="00BB3634">
        <w:t>ccupiers of a dwelling cannot be presumed to invite the police (or anyone else) to approach their home for the purpose of substantiating a criminal charge against them. Any "waiver" of privacy rights that can be implied through the "invitation to knock" simply fails to extend that far. As a result, where the agents of the state approach a dwelling with the intention of gathering evidence against the occupant, the police have exceeded any authority that is implied by the invitation to knock.</w:t>
      </w:r>
    </w:p>
    <w:p w14:paraId="0ED89DFC" w14:textId="77777777" w:rsidR="00E010B8" w:rsidRPr="00BB3634" w:rsidRDefault="00E010B8" w:rsidP="000B18E5">
      <w:pPr>
        <w:pStyle w:val="NoSpacing"/>
      </w:pPr>
    </w:p>
    <w:p w14:paraId="6D075076" w14:textId="3E7A5EF2" w:rsidR="00E010B8" w:rsidRPr="00BB3634" w:rsidRDefault="00E010B8" w:rsidP="000B18E5">
      <w:pPr>
        <w:pStyle w:val="NoSpacing"/>
      </w:pPr>
      <w:r w:rsidRPr="00BB3634">
        <w:t xml:space="preserve">Since the implied invitation is for a specific purpose, the invitee's purpose is all-important in determining whether his or her activity is authorized by the invitation. Where evidence clearly establishes that the police have specifically adverted to the possibility of securing evidence against the accused through "knocking on the door", the police have exceeded the authority conferred by the implied licence to knock: </w:t>
      </w:r>
      <w:r w:rsidRPr="00BB3634">
        <w:rPr>
          <w:i/>
        </w:rPr>
        <w:t xml:space="preserve">Le </w:t>
      </w:r>
      <w:r w:rsidRPr="00BB3634">
        <w:t>at paras 97-102</w:t>
      </w:r>
    </w:p>
    <w:p w14:paraId="6CFE8AB1" w14:textId="77777777" w:rsidR="00E010B8" w:rsidRPr="00BB3634" w:rsidRDefault="00E010B8" w:rsidP="000B18E5">
      <w:pPr>
        <w:pStyle w:val="NoSpacing"/>
      </w:pPr>
    </w:p>
    <w:p w14:paraId="326FCD64" w14:textId="77777777" w:rsidR="007423C7" w:rsidRPr="00BB3634" w:rsidRDefault="007423C7" w:rsidP="00BB3634">
      <w:pPr>
        <w:spacing w:line="276" w:lineRule="auto"/>
        <w:rPr>
          <w:rFonts w:ascii="Arial" w:hAnsi="Arial" w:cs="Arial"/>
        </w:rPr>
      </w:pPr>
    </w:p>
    <w:p w14:paraId="4D291154" w14:textId="200A511E" w:rsidR="002932F7" w:rsidRPr="00BB3634" w:rsidRDefault="009C2A75" w:rsidP="00BB3634">
      <w:pPr>
        <w:pStyle w:val="Heading2"/>
        <w:spacing w:line="276" w:lineRule="auto"/>
        <w:rPr>
          <w:rFonts w:cs="Arial"/>
        </w:rPr>
      </w:pPr>
      <w:bookmarkStart w:id="33" w:name="_Toc94360120"/>
      <w:r w:rsidRPr="00BB3634">
        <w:rPr>
          <w:rFonts w:cs="Arial"/>
        </w:rPr>
        <w:t>Consent Searches</w:t>
      </w:r>
      <w:bookmarkEnd w:id="33"/>
    </w:p>
    <w:p w14:paraId="3B8AB45C" w14:textId="77777777" w:rsidR="002932F7" w:rsidRPr="00BB3634" w:rsidRDefault="002932F7" w:rsidP="00BB3634">
      <w:pPr>
        <w:spacing w:line="276" w:lineRule="auto"/>
        <w:rPr>
          <w:rFonts w:ascii="Arial" w:hAnsi="Arial" w:cs="Arial"/>
        </w:rPr>
      </w:pPr>
    </w:p>
    <w:p w14:paraId="472A8A43" w14:textId="604E1EAA" w:rsidR="002932F7" w:rsidRPr="00BB3634" w:rsidRDefault="002932F7" w:rsidP="000B18E5">
      <w:pPr>
        <w:pStyle w:val="NoSpacing"/>
      </w:pPr>
      <w:r w:rsidRPr="00BB3634">
        <w:t xml:space="preserve">With respect to s. 8, a consent to search requires that the Crown demonstrate on a balance of probabilities that the consent was fully informed. </w:t>
      </w:r>
      <w:r w:rsidR="000E7573" w:rsidRPr="00BB3634">
        <w:t xml:space="preserve">IN </w:t>
      </w:r>
      <w:r w:rsidRPr="00BB3634">
        <w:rPr>
          <w:i/>
        </w:rPr>
        <w:t>R. v. Wills</w:t>
      </w:r>
      <w:r w:rsidRPr="00BB3634">
        <w:t xml:space="preserve"> (1992), 70 C.C.C. (3d) 529, </w:t>
      </w:r>
      <w:r w:rsidR="000E7573" w:rsidRPr="00BB3634">
        <w:t>the Court of Appeal outlined</w:t>
      </w:r>
      <w:r w:rsidRPr="00BB3634">
        <w:t xml:space="preserve"> a number of factors required to establish valid consent to a search. Among these factors is a requirement that the individual giving consent be aware of the potential consequences of giving the consent</w:t>
      </w:r>
      <w:r w:rsidR="000E7573" w:rsidRPr="00BB3634">
        <w:t>. In other words, t</w:t>
      </w:r>
      <w:r w:rsidRPr="00BB3634">
        <w:t>he person asked for his or her consent must appreciate in a general way what his or her position is vis-a-vis t</w:t>
      </w:r>
      <w:r w:rsidR="000E7573" w:rsidRPr="00BB3634">
        <w:t xml:space="preserve">he ongoing police investigation, including </w:t>
      </w:r>
      <w:r w:rsidRPr="00BB3634">
        <w:t>the nature of the charge or potential c</w:t>
      </w:r>
      <w:r w:rsidR="000E7573" w:rsidRPr="00BB3634">
        <w:t xml:space="preserve">harge which he or she may face: </w:t>
      </w:r>
      <w:r w:rsidR="000E7573" w:rsidRPr="00BB3634">
        <w:rPr>
          <w:i/>
        </w:rPr>
        <w:t>R v Sabir,</w:t>
      </w:r>
      <w:hyperlink r:id="rId106" w:history="1">
        <w:r w:rsidR="000E7573" w:rsidRPr="00BB3634">
          <w:rPr>
            <w:rStyle w:val="Hyperlink"/>
            <w:i/>
          </w:rPr>
          <w:t xml:space="preserve"> </w:t>
        </w:r>
        <w:r w:rsidR="000E7573" w:rsidRPr="00BB3634">
          <w:rPr>
            <w:rStyle w:val="Hyperlink"/>
          </w:rPr>
          <w:t>2018 ONCA 912</w:t>
        </w:r>
      </w:hyperlink>
      <w:r w:rsidR="000E7573" w:rsidRPr="00BB3634">
        <w:t>, at para 34</w:t>
      </w:r>
    </w:p>
    <w:p w14:paraId="3C4E3008" w14:textId="3587BA85" w:rsidR="00BF14D7" w:rsidRPr="00BB3634" w:rsidRDefault="00BF14D7" w:rsidP="00BB3634">
      <w:pPr>
        <w:pStyle w:val="Heading2"/>
        <w:spacing w:line="276" w:lineRule="auto"/>
        <w:rPr>
          <w:rFonts w:cs="Arial"/>
        </w:rPr>
      </w:pPr>
      <w:bookmarkStart w:id="34" w:name="_Toc94360121"/>
      <w:r w:rsidRPr="00BB3634">
        <w:rPr>
          <w:rFonts w:cs="Arial"/>
        </w:rPr>
        <w:lastRenderedPageBreak/>
        <w:t>Search Warrants</w:t>
      </w:r>
      <w:bookmarkEnd w:id="34"/>
    </w:p>
    <w:p w14:paraId="212EAA8C" w14:textId="3998CADC" w:rsidR="00BF14D7" w:rsidRPr="00BB3634" w:rsidRDefault="00BF14D7" w:rsidP="007A6720">
      <w:pPr>
        <w:pStyle w:val="Heading3"/>
        <w:numPr>
          <w:ilvl w:val="0"/>
          <w:numId w:val="14"/>
        </w:numPr>
      </w:pPr>
      <w:bookmarkStart w:id="35" w:name="_Toc94360122"/>
      <w:r w:rsidRPr="00BB3634">
        <w:t>Definition</w:t>
      </w:r>
      <w:bookmarkEnd w:id="35"/>
    </w:p>
    <w:p w14:paraId="505781FF" w14:textId="57703417" w:rsidR="00BF14D7" w:rsidRPr="00140A25" w:rsidRDefault="00BF14D7" w:rsidP="000B18E5">
      <w:pPr>
        <w:pStyle w:val="NoSpacing"/>
      </w:pPr>
      <w:r w:rsidRPr="00BB3634">
        <w:t>A search warrant is an order issued by a justice of the peace that authorizes the police to enter a specified place to search for and seize specific property: </w:t>
      </w:r>
      <w:r w:rsidRPr="00BB3634">
        <w:rPr>
          <w:i/>
        </w:rPr>
        <w:t>R v Ting, </w:t>
      </w:r>
      <w:hyperlink r:id="rId107" w:tgtFrame="_blank" w:history="1">
        <w:r w:rsidRPr="00BB3634">
          <w:rPr>
            <w:u w:val="single"/>
          </w:rPr>
          <w:t>2016 ONCA 57</w:t>
        </w:r>
      </w:hyperlink>
      <w:r w:rsidRPr="00BB3634">
        <w:t> at para 47</w:t>
      </w:r>
      <w:r w:rsidR="00140A25">
        <w:t xml:space="preserve">; but see </w:t>
      </w:r>
      <w:r w:rsidR="00140A25">
        <w:rPr>
          <w:i/>
        </w:rPr>
        <w:t xml:space="preserve">R v Iraheta, </w:t>
      </w:r>
      <w:hyperlink r:id="rId108" w:history="1">
        <w:r w:rsidR="00140A25" w:rsidRPr="00140A25">
          <w:rPr>
            <w:rStyle w:val="Hyperlink"/>
          </w:rPr>
          <w:t>2020 ONCA 766</w:t>
        </w:r>
      </w:hyperlink>
      <w:r w:rsidR="00140A25">
        <w:t>, at paras 10-18</w:t>
      </w:r>
    </w:p>
    <w:p w14:paraId="6C897EEA" w14:textId="77777777" w:rsidR="00A4454E" w:rsidRPr="00BB3634" w:rsidRDefault="00A4454E" w:rsidP="000B18E5">
      <w:pPr>
        <w:pStyle w:val="NoSpacing"/>
      </w:pPr>
    </w:p>
    <w:p w14:paraId="71D6C4A0" w14:textId="33B5AC00" w:rsidR="00A4454E" w:rsidRPr="00BB3634" w:rsidRDefault="00A4454E" w:rsidP="007A6720">
      <w:pPr>
        <w:pStyle w:val="Heading3"/>
        <w:numPr>
          <w:ilvl w:val="0"/>
          <w:numId w:val="14"/>
        </w:numPr>
      </w:pPr>
      <w:bookmarkStart w:id="36" w:name="_Toc94360123"/>
      <w:r w:rsidRPr="00BB3634">
        <w:t>General Warrants</w:t>
      </w:r>
      <w:bookmarkEnd w:id="36"/>
    </w:p>
    <w:p w14:paraId="1327368B" w14:textId="10DA59C8" w:rsidR="00835585" w:rsidRPr="00BB3634" w:rsidRDefault="00835585" w:rsidP="000B18E5">
      <w:pPr>
        <w:pStyle w:val="NoSpacing"/>
      </w:pPr>
      <w:r w:rsidRPr="00BB3634">
        <w:t xml:space="preserve">A peace officer may obtain a general warrant pursuant to </w:t>
      </w:r>
      <w:hyperlink r:id="rId109" w:anchor="docCont" w:history="1">
        <w:r w:rsidRPr="00BB3634">
          <w:rPr>
            <w:rStyle w:val="Hyperlink"/>
          </w:rPr>
          <w:t>s.487.01</w:t>
        </w:r>
      </w:hyperlink>
      <w:r w:rsidRPr="00BB3634">
        <w:t xml:space="preserve">, which </w:t>
      </w:r>
      <w:r w:rsidR="005C14F1" w:rsidRPr="00BB3634">
        <w:t>authorizes a peace officer to “use any device or investigative technique or procedure or do any thing described in the warrant that would, if not authorized, constitute an unreasonable search or seizure in respect of a person or a person’s property.”</w:t>
      </w:r>
    </w:p>
    <w:p w14:paraId="7018B078" w14:textId="77777777" w:rsidR="005C14F1" w:rsidRPr="00BB3634" w:rsidRDefault="005C14F1" w:rsidP="000B18E5">
      <w:pPr>
        <w:pStyle w:val="NoSpacing"/>
      </w:pPr>
    </w:p>
    <w:p w14:paraId="58F4169D" w14:textId="77777777" w:rsidR="00A4454E" w:rsidRPr="00BB3634" w:rsidRDefault="00A4454E" w:rsidP="000B18E5">
      <w:pPr>
        <w:pStyle w:val="NoSpacing"/>
      </w:pPr>
      <w:r w:rsidRPr="00BB3634">
        <w:t>Section 487.01(1)(c) provides that a general warrant is not available where there is another statutory provision that “would provide for a warrant, authorization or order permitting the technique, procedure or device to be used or the thing to be done.”</w:t>
      </w:r>
    </w:p>
    <w:p w14:paraId="33DC67EB" w14:textId="77777777" w:rsidR="00E62C96" w:rsidRPr="00BB3634" w:rsidRDefault="00E62C96" w:rsidP="000B18E5">
      <w:pPr>
        <w:pStyle w:val="NoSpacing"/>
      </w:pPr>
    </w:p>
    <w:p w14:paraId="7674A090" w14:textId="298B68E1" w:rsidR="00E62C96" w:rsidRPr="00BB3634" w:rsidRDefault="00E62C96" w:rsidP="000B18E5">
      <w:pPr>
        <w:pStyle w:val="NoSpacing"/>
      </w:pPr>
      <w:r w:rsidRPr="00BB3634">
        <w:t>However, there is nothing in the language of s. 487.01(1)(c) that precludes a peace officer from obtaining a general warrant solely because he or she has sufficient information to obtain a search warrant. Resort to a search warrant is only precluded when judicial approval for the proposed technique, procedure or device or the doing of the thing” is available under some other federal statutory provision.</w:t>
      </w:r>
    </w:p>
    <w:p w14:paraId="6EE16A67" w14:textId="77777777" w:rsidR="00420660" w:rsidRPr="00BB3634" w:rsidRDefault="00420660" w:rsidP="000B18E5">
      <w:pPr>
        <w:pStyle w:val="NoSpacing"/>
      </w:pPr>
    </w:p>
    <w:p w14:paraId="188E6248" w14:textId="535E975B" w:rsidR="00420660" w:rsidRPr="00BB3634" w:rsidRDefault="00420660" w:rsidP="000B18E5">
      <w:pPr>
        <w:pStyle w:val="NoSpacing"/>
      </w:pPr>
      <w:r w:rsidRPr="00BB3634">
        <w:t>That the police are in a position to obtain a search warrant does not prevent them for continuing to investigate using all other lawful means at their disposal. In many cases the information the police present in support of an application for a general warrant would also support an application for a search warrant. There is nothing wrong in utilizing a general warrant to obtain information with a view to gathering additional and possibly better evidence than that which could be seized immediately through the execution of a search warrant.</w:t>
      </w:r>
    </w:p>
    <w:p w14:paraId="27145FA0" w14:textId="77777777" w:rsidR="00A4454E" w:rsidRPr="00BB3634" w:rsidRDefault="00A4454E" w:rsidP="000B18E5">
      <w:pPr>
        <w:pStyle w:val="NoSpacing"/>
      </w:pPr>
    </w:p>
    <w:p w14:paraId="02D21B1B" w14:textId="77777777" w:rsidR="00317674" w:rsidRPr="00BB3634" w:rsidRDefault="00A4454E" w:rsidP="000B18E5">
      <w:pPr>
        <w:pStyle w:val="NoSpacing"/>
      </w:pPr>
      <w:r w:rsidRPr="00BB3634">
        <w:lastRenderedPageBreak/>
        <w:t>A general warrant is to be “used sparingly as a warrant of limited resort” so that it does not become an “easy back door for other techniques that have more demanding pre-authorization requ</w:t>
      </w:r>
      <w:r w:rsidR="00317674" w:rsidRPr="00BB3634">
        <w:t>irements.</w:t>
      </w:r>
    </w:p>
    <w:p w14:paraId="6858E214" w14:textId="77777777" w:rsidR="00317674" w:rsidRPr="00BB3634" w:rsidRDefault="00317674" w:rsidP="000B18E5">
      <w:pPr>
        <w:pStyle w:val="NoSpacing"/>
      </w:pPr>
    </w:p>
    <w:p w14:paraId="166460C1" w14:textId="4255385F" w:rsidR="00A4454E" w:rsidRPr="00BB3634" w:rsidRDefault="00317674" w:rsidP="000B18E5">
      <w:pPr>
        <w:pStyle w:val="NoSpacing"/>
      </w:pPr>
      <w:r w:rsidRPr="00BB3634">
        <w:t xml:space="preserve">Where police are confronted with the choice between a series of conventional warrants or an application for a general warrant, if they apply for a general warrant they must meet the stricter requirements of s. 487.01, which can only be issued by a judge, not a justice of the peace, and they must establish that it is in the best interests of the administration of justice to issue the general warrant: </w:t>
      </w:r>
      <w:r w:rsidR="00A4454E" w:rsidRPr="00BB3634">
        <w:rPr>
          <w:i/>
        </w:rPr>
        <w:t xml:space="preserve">R v </w:t>
      </w:r>
      <w:r w:rsidR="00675D9A" w:rsidRPr="00BB3634">
        <w:rPr>
          <w:i/>
        </w:rPr>
        <w:t xml:space="preserve">Jodoin, </w:t>
      </w:r>
      <w:hyperlink r:id="rId110" w:history="1">
        <w:r w:rsidR="00675D9A" w:rsidRPr="00BB3634">
          <w:rPr>
            <w:rStyle w:val="Hyperlink"/>
          </w:rPr>
          <w:t>2018 ONCA 638</w:t>
        </w:r>
      </w:hyperlink>
      <w:r w:rsidR="0070404B" w:rsidRPr="00BB3634">
        <w:t>,</w:t>
      </w:r>
      <w:r w:rsidR="00675D9A" w:rsidRPr="00BB3634">
        <w:t xml:space="preserve"> at paras </w:t>
      </w:r>
      <w:r w:rsidR="0070404B" w:rsidRPr="00BB3634">
        <w:t>1, 11</w:t>
      </w:r>
      <w:r w:rsidR="00420660" w:rsidRPr="00BB3634">
        <w:t>, 13</w:t>
      </w:r>
      <w:r w:rsidRPr="00BB3634">
        <w:t>, 14</w:t>
      </w:r>
    </w:p>
    <w:p w14:paraId="5A606821" w14:textId="3F87AF1A" w:rsidR="00525A3C" w:rsidRPr="00BB3634" w:rsidRDefault="00525A3C" w:rsidP="000B18E5">
      <w:pPr>
        <w:pStyle w:val="NoSpacing"/>
      </w:pPr>
    </w:p>
    <w:p w14:paraId="53554E9D" w14:textId="653BD25B" w:rsidR="00525A3C" w:rsidRPr="00BB3634" w:rsidRDefault="00525A3C" w:rsidP="007A6720">
      <w:pPr>
        <w:pStyle w:val="Heading3"/>
        <w:numPr>
          <w:ilvl w:val="0"/>
          <w:numId w:val="14"/>
        </w:numPr>
      </w:pPr>
      <w:bookmarkStart w:id="37" w:name="_Toc94360124"/>
      <w:r w:rsidRPr="00BB3634">
        <w:t>DNA Warrants</w:t>
      </w:r>
      <w:bookmarkEnd w:id="37"/>
    </w:p>
    <w:p w14:paraId="3AFD9D94" w14:textId="2E92FB40" w:rsidR="00525A3C" w:rsidRPr="00BB3634" w:rsidRDefault="00525A3C" w:rsidP="00BB3634">
      <w:pPr>
        <w:spacing w:line="276" w:lineRule="auto"/>
        <w:rPr>
          <w:rFonts w:ascii="Arial" w:hAnsi="Arial" w:cs="Arial"/>
          <w:lang w:val="en-US"/>
        </w:rPr>
      </w:pPr>
    </w:p>
    <w:p w14:paraId="6F63C5EE" w14:textId="148A579B" w:rsidR="00525A3C" w:rsidRPr="00BB3634" w:rsidRDefault="00525A3C" w:rsidP="000B18E5">
      <w:pPr>
        <w:pStyle w:val="NoSpacing"/>
      </w:pPr>
      <w:r w:rsidRPr="00BB3634">
        <w:t>Section </w:t>
      </w:r>
      <w:bookmarkStart w:id="38" w:name="_Hlk44864388"/>
      <w:r w:rsidRPr="00BB3634">
        <w:t>487.05</w:t>
      </w:r>
      <w:bookmarkEnd w:id="38"/>
      <w:r w:rsidRPr="00BB3634">
        <w:t>(1) of the Criminal Code, provides that, for a DNA warrant to be issued, there must be reasonable grounds to believe that:</w:t>
      </w:r>
    </w:p>
    <w:p w14:paraId="1A4F89E9" w14:textId="77777777" w:rsidR="00525A3C" w:rsidRPr="00BB3634" w:rsidRDefault="00525A3C" w:rsidP="000B18E5">
      <w:pPr>
        <w:pStyle w:val="NoSpacing"/>
      </w:pPr>
    </w:p>
    <w:p w14:paraId="61AD3657" w14:textId="77777777" w:rsidR="00525A3C" w:rsidRPr="00BB3634" w:rsidRDefault="00525A3C" w:rsidP="000B18E5">
      <w:pPr>
        <w:pStyle w:val="NoSpacing"/>
      </w:pPr>
      <w:r w:rsidRPr="00BB3634">
        <w:t>a)   A designated offence has been committed;</w:t>
      </w:r>
    </w:p>
    <w:p w14:paraId="4D0AA39C" w14:textId="786A76C0" w:rsidR="00525A3C" w:rsidRPr="00BB3634" w:rsidRDefault="00525A3C" w:rsidP="000B18E5">
      <w:pPr>
        <w:pStyle w:val="NoSpacing"/>
      </w:pPr>
      <w:r w:rsidRPr="00BB3634">
        <w:t>b)   A bodily substance has been found or obtained at specified places, including at the place where the offence was committed, or at any place associated with the commission of the offence;</w:t>
      </w:r>
    </w:p>
    <w:p w14:paraId="54587854" w14:textId="77777777" w:rsidR="00525A3C" w:rsidRPr="00BB3634" w:rsidRDefault="00525A3C" w:rsidP="000B18E5">
      <w:pPr>
        <w:pStyle w:val="NoSpacing"/>
      </w:pPr>
    </w:p>
    <w:p w14:paraId="2C33891D" w14:textId="610D1EAE" w:rsidR="00525A3C" w:rsidRPr="00BB3634" w:rsidRDefault="00525A3C" w:rsidP="000B18E5">
      <w:pPr>
        <w:pStyle w:val="NoSpacing"/>
      </w:pPr>
      <w:r w:rsidRPr="00BB3634">
        <w:t>c)    The person targeted by the warrant was a party to the offence; and</w:t>
      </w:r>
    </w:p>
    <w:p w14:paraId="4F5EF631" w14:textId="77777777" w:rsidR="00525A3C" w:rsidRPr="00BB3634" w:rsidRDefault="00525A3C" w:rsidP="000B18E5">
      <w:pPr>
        <w:pStyle w:val="NoSpacing"/>
      </w:pPr>
    </w:p>
    <w:p w14:paraId="501FF786" w14:textId="292E8458" w:rsidR="00525A3C" w:rsidRPr="00BB3634" w:rsidRDefault="00525A3C" w:rsidP="000B18E5">
      <w:pPr>
        <w:pStyle w:val="NoSpacing"/>
      </w:pPr>
      <w:r w:rsidRPr="00BB3634">
        <w:t xml:space="preserve">d)   Forensic DNA analysis of a bodily substance from that person will provide evidence about whether the bodily substance referred to in (b) was from that person: </w:t>
      </w:r>
      <w:r w:rsidRPr="00BB3634">
        <w:rPr>
          <w:i/>
        </w:rPr>
        <w:t xml:space="preserve">R v Mackey, </w:t>
      </w:r>
      <w:hyperlink r:id="rId111" w:history="1">
        <w:r w:rsidRPr="00BB3634">
          <w:rPr>
            <w:rStyle w:val="Hyperlink"/>
          </w:rPr>
          <w:t>2020 ONCA 466,</w:t>
        </w:r>
      </w:hyperlink>
      <w:r w:rsidRPr="00BB3634">
        <w:t xml:space="preserve"> at para 52</w:t>
      </w:r>
    </w:p>
    <w:p w14:paraId="57BDA0D6" w14:textId="77777777" w:rsidR="00525A3C" w:rsidRPr="00BB3634" w:rsidRDefault="00525A3C" w:rsidP="00BB3634">
      <w:pPr>
        <w:spacing w:line="276" w:lineRule="auto"/>
        <w:rPr>
          <w:rFonts w:ascii="Arial" w:hAnsi="Arial" w:cs="Arial"/>
          <w:lang w:val="en-US"/>
        </w:rPr>
      </w:pPr>
    </w:p>
    <w:p w14:paraId="0D5F3722" w14:textId="77777777" w:rsidR="00A4454E" w:rsidRPr="00BB3634" w:rsidRDefault="00A4454E" w:rsidP="00BB3634">
      <w:pPr>
        <w:spacing w:line="276" w:lineRule="auto"/>
        <w:rPr>
          <w:rFonts w:ascii="Arial" w:hAnsi="Arial" w:cs="Arial"/>
        </w:rPr>
      </w:pPr>
    </w:p>
    <w:p w14:paraId="7EE63406" w14:textId="3782230B" w:rsidR="00BF14D7" w:rsidRPr="00BB3634" w:rsidRDefault="009E6FF5" w:rsidP="007A6720">
      <w:pPr>
        <w:pStyle w:val="Heading3"/>
        <w:numPr>
          <w:ilvl w:val="0"/>
          <w:numId w:val="14"/>
        </w:numPr>
      </w:pPr>
      <w:bookmarkStart w:id="39" w:name="_Toc94360125"/>
      <w:r w:rsidRPr="00BB3634">
        <w:t xml:space="preserve">The </w:t>
      </w:r>
      <w:r w:rsidR="00BF14D7" w:rsidRPr="00BB3634">
        <w:t>ITO</w:t>
      </w:r>
      <w:bookmarkEnd w:id="39"/>
    </w:p>
    <w:p w14:paraId="16871BDD" w14:textId="77777777" w:rsidR="009E6FF5" w:rsidRPr="00BB3634" w:rsidRDefault="009E6FF5" w:rsidP="000B18E5">
      <w:pPr>
        <w:pStyle w:val="NoSpacing"/>
      </w:pPr>
    </w:p>
    <w:p w14:paraId="3827B0C7" w14:textId="5A31CF5D" w:rsidR="00906643" w:rsidRPr="00BB3634" w:rsidRDefault="00906643" w:rsidP="000B18E5">
      <w:pPr>
        <w:pStyle w:val="NoSpacing"/>
      </w:pPr>
      <w:r w:rsidRPr="00BB3634">
        <w:t>Applying for and obtaining a search warrant from an independent judicial officer is the antithesis of willful disregard of Charter rights.  However, where the ITO that formed the basis for the issuance of the warrant is found to be insufficient to support it, the proper approach to determine the seriousness of the </w:t>
      </w:r>
      <w:r w:rsidRPr="00BB3634">
        <w:rPr>
          <w:i/>
        </w:rPr>
        <w:t>Charter</w:t>
      </w:r>
      <w:r w:rsidRPr="00BB3634">
        <w:t xml:space="preserve"> breach is to first consider whether the ITO was misleading. If it was, the seriousness will depend on whether the use of false or misleading </w:t>
      </w:r>
      <w:r w:rsidRPr="00BB3634">
        <w:lastRenderedPageBreak/>
        <w:t>information</w:t>
      </w:r>
      <w:r w:rsidR="009F1A6E" w:rsidRPr="00BB3634">
        <w:t xml:space="preserve"> was intentional or inadvertent: </w:t>
      </w:r>
      <w:r w:rsidR="009F1A6E" w:rsidRPr="00BB3634">
        <w:rPr>
          <w:i/>
        </w:rPr>
        <w:t xml:space="preserve">R v Szilagyi, </w:t>
      </w:r>
      <w:hyperlink r:id="rId112" w:history="1">
        <w:r w:rsidR="009F1A6E" w:rsidRPr="00BB3634">
          <w:rPr>
            <w:rStyle w:val="Hyperlink"/>
          </w:rPr>
          <w:t>2018 ONCA 695</w:t>
        </w:r>
      </w:hyperlink>
      <w:r w:rsidR="009F1A6E" w:rsidRPr="00BB3634">
        <w:t xml:space="preserve"> at para 54</w:t>
      </w:r>
    </w:p>
    <w:p w14:paraId="48D8970D" w14:textId="77777777" w:rsidR="00906643" w:rsidRPr="00BB3634" w:rsidRDefault="00906643" w:rsidP="000B18E5">
      <w:pPr>
        <w:pStyle w:val="NoSpacing"/>
      </w:pPr>
    </w:p>
    <w:p w14:paraId="41278C5A" w14:textId="79D2631B" w:rsidR="007667A3" w:rsidRPr="00BB3634" w:rsidRDefault="003F2A15" w:rsidP="000B18E5">
      <w:pPr>
        <w:pStyle w:val="NoSpacing"/>
        <w:rPr>
          <w:i/>
        </w:rPr>
      </w:pPr>
      <w:r w:rsidRPr="00BB3634">
        <w:t xml:space="preserve">A section 8 breach will arise where significant redaction renders the ITO insufficient to support the issuance of an ITO. However, where the court, after being able to review and summarize the unredacted ITO, finds reasonable and probable grounds to support the issuance of the warrant, </w:t>
      </w:r>
      <w:r w:rsidR="00EF6DE1" w:rsidRPr="00BB3634">
        <w:t xml:space="preserve">this will militate in favour of inclusion of the evidence because, in such cases, the </w:t>
      </w:r>
      <w:r w:rsidR="00EF6DE1" w:rsidRPr="00BB3634">
        <w:rPr>
          <w:i/>
        </w:rPr>
        <w:t xml:space="preserve">Charter </w:t>
      </w:r>
      <w:r w:rsidR="00EF6DE1" w:rsidRPr="00BB3634">
        <w:t xml:space="preserve">violation does not arise from police misconduct in preparing the ITO but only </w:t>
      </w:r>
      <w:r w:rsidR="007667A3" w:rsidRPr="00BB3634">
        <w:t>as a matter of law from the Crown’s inability to disclose enough of the information in the ITO to demonstrate at the trial the reasonable and pr</w:t>
      </w:r>
      <w:r w:rsidR="00EF6DE1" w:rsidRPr="00BB3634">
        <w:t>obable grounds that did exist: Szilagyi, at paras 66-67, citing</w:t>
      </w:r>
      <w:r w:rsidR="00ED3BDD" w:rsidRPr="00BB3634">
        <w:t xml:space="preserve"> </w:t>
      </w:r>
      <w:r w:rsidR="00ED3BDD" w:rsidRPr="00BB3634">
        <w:rPr>
          <w:i/>
        </w:rPr>
        <w:t>R v</w:t>
      </w:r>
      <w:r w:rsidR="00EF6DE1" w:rsidRPr="00BB3634">
        <w:t xml:space="preserve"> </w:t>
      </w:r>
      <w:r w:rsidR="00EF6DE1" w:rsidRPr="00BB3634">
        <w:rPr>
          <w:i/>
        </w:rPr>
        <w:t xml:space="preserve">Learning </w:t>
      </w:r>
      <w:r w:rsidR="00ED3BDD" w:rsidRPr="00BB3634">
        <w:t>2010 ONSC 3816</w:t>
      </w:r>
    </w:p>
    <w:p w14:paraId="1EC40797" w14:textId="77777777" w:rsidR="007667A3" w:rsidRPr="00BB3634" w:rsidRDefault="007667A3" w:rsidP="000B18E5">
      <w:pPr>
        <w:pStyle w:val="NoSpacing"/>
      </w:pPr>
    </w:p>
    <w:p w14:paraId="46682D31" w14:textId="5608258B" w:rsidR="007423C7" w:rsidRPr="00BB3634" w:rsidRDefault="007423C7" w:rsidP="000B18E5">
      <w:pPr>
        <w:pStyle w:val="NoSpacing"/>
      </w:pPr>
    </w:p>
    <w:p w14:paraId="119525DB" w14:textId="77777777" w:rsidR="007423C7" w:rsidRPr="00BB3634" w:rsidRDefault="007423C7" w:rsidP="000B18E5">
      <w:pPr>
        <w:pStyle w:val="NoSpacing"/>
      </w:pPr>
    </w:p>
    <w:p w14:paraId="17269ADD" w14:textId="62CC0B41" w:rsidR="00906643" w:rsidRPr="00BB3634" w:rsidRDefault="009E6FF5" w:rsidP="00BB3634">
      <w:pPr>
        <w:pStyle w:val="Heading4"/>
        <w:numPr>
          <w:ilvl w:val="0"/>
          <w:numId w:val="25"/>
        </w:numPr>
        <w:spacing w:line="276" w:lineRule="auto"/>
        <w:rPr>
          <w:rFonts w:cs="Arial"/>
          <w:sz w:val="24"/>
          <w:szCs w:val="24"/>
        </w:rPr>
      </w:pPr>
      <w:r w:rsidRPr="00BB3634">
        <w:rPr>
          <w:rFonts w:cs="Arial"/>
          <w:sz w:val="24"/>
          <w:szCs w:val="24"/>
        </w:rPr>
        <w:t>Reasonable Grounds to Believe</w:t>
      </w:r>
    </w:p>
    <w:p w14:paraId="3F0FD478" w14:textId="77777777" w:rsidR="00906643" w:rsidRPr="00BB3634" w:rsidRDefault="00906643" w:rsidP="000B18E5">
      <w:pPr>
        <w:pStyle w:val="NoSpacing"/>
      </w:pPr>
    </w:p>
    <w:p w14:paraId="075461D4" w14:textId="3DBA7286" w:rsidR="00413B56" w:rsidRPr="00BB3634" w:rsidRDefault="00413B56" w:rsidP="000B18E5">
      <w:pPr>
        <w:pStyle w:val="NoSpacing"/>
      </w:pPr>
      <w:r w:rsidRPr="00BB3634">
        <w:t xml:space="preserve">The ITO must contain reasonable grounds to believe </w:t>
      </w:r>
      <w:r w:rsidR="00407CDE" w:rsidRPr="00BB3634">
        <w:t>that there is evidenc</w:t>
      </w:r>
      <w:r w:rsidR="003B5CF2">
        <w:t>e</w:t>
      </w:r>
      <w:r w:rsidR="00407CDE" w:rsidRPr="00BB3634">
        <w:t xml:space="preserve"> respecting the commission of an offence in the location to be searched. “Reasonable grounds to believe” is constitutionally defined as credibly-based probability. This standard exceeds suspicion, but falls short of a balance of probabilities: </w:t>
      </w:r>
      <w:r w:rsidR="00407CDE" w:rsidRPr="00BB3634">
        <w:rPr>
          <w:i/>
        </w:rPr>
        <w:t xml:space="preserve">R v </w:t>
      </w:r>
      <w:r w:rsidR="0057581E" w:rsidRPr="00BB3634">
        <w:rPr>
          <w:i/>
        </w:rPr>
        <w:t xml:space="preserve">Herta, </w:t>
      </w:r>
      <w:hyperlink r:id="rId113" w:history="1">
        <w:r w:rsidR="0057581E" w:rsidRPr="00BB3634">
          <w:rPr>
            <w:rStyle w:val="Hyperlink"/>
          </w:rPr>
          <w:t>2018 ONCA 927</w:t>
        </w:r>
      </w:hyperlink>
      <w:r w:rsidR="0057581E" w:rsidRPr="00BB3634">
        <w:t>, at para 20</w:t>
      </w:r>
    </w:p>
    <w:p w14:paraId="4B39A4A2" w14:textId="77777777" w:rsidR="00413B56" w:rsidRPr="00BB3634" w:rsidRDefault="00413B56" w:rsidP="000B18E5">
      <w:pPr>
        <w:pStyle w:val="NoSpacing"/>
      </w:pPr>
    </w:p>
    <w:p w14:paraId="1BA7E34B" w14:textId="77777777" w:rsidR="009E6FF5" w:rsidRPr="00BB3634" w:rsidRDefault="009E6FF5" w:rsidP="000B18E5">
      <w:pPr>
        <w:pStyle w:val="NoSpacing"/>
      </w:pPr>
      <w:r w:rsidRPr="00BB3634">
        <w:t>Reasonable grounds can be based on a reasonable belief that certain facts exist even if it turns out that the belief is mistaken: </w:t>
      </w:r>
      <w:r w:rsidRPr="00BB3634">
        <w:rPr>
          <w:i/>
        </w:rPr>
        <w:t>R v Robinson, </w:t>
      </w:r>
      <w:hyperlink r:id="rId114" w:tgtFrame="_blank" w:history="1">
        <w:r w:rsidRPr="00BB3634">
          <w:rPr>
            <w:u w:val="single"/>
          </w:rPr>
          <w:t>2016 ONCA 402</w:t>
        </w:r>
      </w:hyperlink>
      <w:r w:rsidRPr="00BB3634">
        <w:t> at para 40. But, for example, see </w:t>
      </w:r>
      <w:r w:rsidRPr="00BB3634">
        <w:rPr>
          <w:i/>
        </w:rPr>
        <w:t>R v Brown, 2012 ONCA 225, </w:t>
      </w:r>
      <w:r w:rsidRPr="00BB3634">
        <w:t>in which two officers with the same information arrived at different conclusions as to the existence of reasonable grounds  </w:t>
      </w:r>
    </w:p>
    <w:p w14:paraId="12C781F3" w14:textId="77777777" w:rsidR="009E6FF5" w:rsidRPr="00BB3634" w:rsidRDefault="009E6FF5" w:rsidP="000B18E5">
      <w:pPr>
        <w:pStyle w:val="NoSpacing"/>
      </w:pPr>
      <w:r w:rsidRPr="00BB3634">
        <w:t>​</w:t>
      </w:r>
    </w:p>
    <w:p w14:paraId="6422AEF1" w14:textId="3D30BDAA" w:rsidR="000D640B" w:rsidRPr="00BB3634" w:rsidRDefault="000D640B" w:rsidP="000B18E5">
      <w:pPr>
        <w:pStyle w:val="NoSpacing"/>
      </w:pPr>
      <w:r w:rsidRPr="00BB3634">
        <w:t xml:space="preserve">ITO must contain information about the informer’s source of knowledge regarding the presence of criminal activity and where it will be located; otherwise, there </w:t>
      </w:r>
      <w:r w:rsidR="00DE427E" w:rsidRPr="00BB3634">
        <w:t xml:space="preserve">is </w:t>
      </w:r>
      <w:r w:rsidRPr="00BB3634">
        <w:t xml:space="preserve">nothing in the information to compel a belief that the </w:t>
      </w:r>
      <w:r w:rsidR="00DE427E" w:rsidRPr="00BB3634">
        <w:t>criminality</w:t>
      </w:r>
      <w:r w:rsidRPr="00BB3634">
        <w:t xml:space="preserve"> would be in the </w:t>
      </w:r>
      <w:r w:rsidR="00DE427E" w:rsidRPr="00BB3634">
        <w:t>location</w:t>
      </w:r>
      <w:r w:rsidRPr="00BB3634">
        <w:t xml:space="preserve"> when the search was conducted</w:t>
      </w:r>
      <w:r w:rsidR="00DE427E" w:rsidRPr="00BB3634">
        <w:t xml:space="preserve">. Failure to specify this information constitutes a serious and significant deficiency in the ITO. </w:t>
      </w:r>
      <w:r w:rsidR="00DE427E" w:rsidRPr="00BB3634">
        <w:rPr>
          <w:i/>
        </w:rPr>
        <w:t xml:space="preserve">R v Szilagyi, </w:t>
      </w:r>
      <w:hyperlink r:id="rId115" w:history="1">
        <w:r w:rsidR="00DE427E" w:rsidRPr="00BB3634">
          <w:rPr>
            <w:rStyle w:val="Hyperlink"/>
          </w:rPr>
          <w:t>2018 ONCA 695</w:t>
        </w:r>
      </w:hyperlink>
      <w:r w:rsidR="00DE427E" w:rsidRPr="00BB3634">
        <w:t xml:space="preserve"> at para 47-48</w:t>
      </w:r>
    </w:p>
    <w:p w14:paraId="3589B865" w14:textId="77777777" w:rsidR="005016A4" w:rsidRPr="00BB3634" w:rsidRDefault="005016A4" w:rsidP="000B18E5">
      <w:pPr>
        <w:pStyle w:val="NoSpacing"/>
      </w:pPr>
    </w:p>
    <w:p w14:paraId="4F658F40" w14:textId="77777777" w:rsidR="00B172E3" w:rsidRPr="00BB3634" w:rsidRDefault="005016A4" w:rsidP="000B18E5">
      <w:pPr>
        <w:pStyle w:val="NoSpacing"/>
      </w:pPr>
      <w:r w:rsidRPr="00BB3634">
        <w:t xml:space="preserve"> On the issue of the informant’s credibility and reliability, the </w:t>
      </w:r>
      <w:r w:rsidR="002122FD" w:rsidRPr="00BB3634">
        <w:t xml:space="preserve">ITO must indicate whether the Justice of the Peace was aware of any record for crimes of dishonesty or other offences relevant to credibility. </w:t>
      </w:r>
      <w:r w:rsidR="00ED3BDD" w:rsidRPr="00BB3634">
        <w:t>It is</w:t>
      </w:r>
      <w:r w:rsidR="00B172E3" w:rsidRPr="00BB3634">
        <w:t xml:space="preserve"> insufficient to simply indicate, for example, that the informant was involved in the drug trade and </w:t>
      </w:r>
      <w:r w:rsidR="00B172E3" w:rsidRPr="00BB3634">
        <w:lastRenderedPageBreak/>
        <w:t>expect the justice to infer criminal involvement that could undermine the informant’s credibility. The purpose and effect of disclosing an informant’s police involvement is to give the issuing justice a full picture of the credibility and reliability of the informant, particularly when the entire warrant is based on that person’s information. It is not to say one thing but expect the justice to infer another.</w:t>
      </w:r>
    </w:p>
    <w:p w14:paraId="063571BB" w14:textId="77777777" w:rsidR="00B172E3" w:rsidRPr="00BB3634" w:rsidRDefault="00B172E3" w:rsidP="000B18E5">
      <w:pPr>
        <w:pStyle w:val="NoSpacing"/>
      </w:pPr>
    </w:p>
    <w:p w14:paraId="69A2B47B" w14:textId="6523FA3F" w:rsidR="00B75401" w:rsidRPr="00BB3634" w:rsidRDefault="002122FD" w:rsidP="000B18E5">
      <w:pPr>
        <w:pStyle w:val="NoSpacing"/>
      </w:pPr>
      <w:r w:rsidRPr="00BB3634">
        <w:t xml:space="preserve">An informant’s credibility and reliability may not be enhanced simply because the ITO </w:t>
      </w:r>
      <w:r w:rsidR="00B62B78" w:rsidRPr="00BB3634">
        <w:t xml:space="preserve">indicated that s/he had previously provided reliable information. </w:t>
      </w:r>
      <w:r w:rsidR="00B75401" w:rsidRPr="00BB3634">
        <w:t xml:space="preserve">However, in some cases, the inability to assess the credibility of the source may be compensated for by the quality of the information and corroborative evidence: </w:t>
      </w:r>
      <w:r w:rsidR="00B75401" w:rsidRPr="00BB3634">
        <w:rPr>
          <w:i/>
        </w:rPr>
        <w:t xml:space="preserve">Szilagyi, </w:t>
      </w:r>
      <w:r w:rsidR="00B75401" w:rsidRPr="00BB3634">
        <w:t>at paras 50-51</w:t>
      </w:r>
      <w:r w:rsidR="005826DD" w:rsidRPr="00BB3634">
        <w:t xml:space="preserve">, 69-70; </w:t>
      </w:r>
      <w:r w:rsidR="006872A2" w:rsidRPr="00BB3634">
        <w:t xml:space="preserve">see also para 60 and 61 referencing </w:t>
      </w:r>
      <w:r w:rsidR="00B50245" w:rsidRPr="00BB3634">
        <w:rPr>
          <w:i/>
        </w:rPr>
        <w:t xml:space="preserve">R v </w:t>
      </w:r>
      <w:r w:rsidR="006872A2" w:rsidRPr="00BB3634">
        <w:rPr>
          <w:i/>
        </w:rPr>
        <w:t>Rocha</w:t>
      </w:r>
      <w:r w:rsidR="00B50245" w:rsidRPr="00BB3634">
        <w:rPr>
          <w:i/>
        </w:rPr>
        <w:t xml:space="preserve">, </w:t>
      </w:r>
      <w:r w:rsidR="00B50245" w:rsidRPr="00BB3634">
        <w:t>2012 ONCA 707</w:t>
      </w:r>
    </w:p>
    <w:p w14:paraId="290FA8C9" w14:textId="77777777" w:rsidR="000D640B" w:rsidRPr="00BB3634" w:rsidRDefault="000D640B" w:rsidP="000B18E5">
      <w:pPr>
        <w:pStyle w:val="NoSpacing"/>
      </w:pPr>
    </w:p>
    <w:p w14:paraId="0AD1089E" w14:textId="3FED911A" w:rsidR="009E6FF5" w:rsidRPr="00BB3634" w:rsidRDefault="009E6FF5" w:rsidP="000B18E5">
      <w:pPr>
        <w:pStyle w:val="NoSpacing"/>
      </w:pPr>
      <w:r w:rsidRPr="00BB3634">
        <w:t>A trial judge has residual discretion to set aside a search warrant, despite the presence of reasonable and probable grounds for its issuance, where the judge is satisfied that the conduct of the police has been subversive of the pre-authorization process leading to the issuance of the search authority. However, the threshold is high. Subversion requires an abuse of the pre-authorization process by non-disclosure or misleading disclosure or their like: </w:t>
      </w:r>
      <w:r w:rsidRPr="00BB3634">
        <w:rPr>
          <w:i/>
        </w:rPr>
        <w:t>R v </w:t>
      </w:r>
      <w:hyperlink r:id="rId116" w:tgtFrame="_blank" w:history="1">
        <w:r w:rsidRPr="00BB3634">
          <w:rPr>
            <w:i/>
            <w:u w:val="single"/>
          </w:rPr>
          <w:t>Paryniuk</w:t>
        </w:r>
      </w:hyperlink>
      <w:r w:rsidRPr="00BB3634">
        <w:t>, </w:t>
      </w:r>
      <w:hyperlink r:id="rId117" w:tgtFrame="_blank" w:history="1">
        <w:r w:rsidRPr="00BB3634">
          <w:rPr>
            <w:u w:val="single"/>
          </w:rPr>
          <w:t>2017 ONCA 87</w:t>
        </w:r>
      </w:hyperlink>
      <w:r w:rsidRPr="00BB3634">
        <w:t>, at paras. 62-74. </w:t>
      </w:r>
    </w:p>
    <w:p w14:paraId="17E464F2" w14:textId="30014ADE" w:rsidR="00C616F4" w:rsidRPr="00BB3634" w:rsidRDefault="00C616F4" w:rsidP="000B18E5">
      <w:pPr>
        <w:pStyle w:val="NoSpacing"/>
      </w:pPr>
    </w:p>
    <w:p w14:paraId="58E17E25" w14:textId="0B90F14C" w:rsidR="00C616F4" w:rsidRPr="00BB3634" w:rsidRDefault="00C616F4" w:rsidP="000B18E5">
      <w:pPr>
        <w:pStyle w:val="NoSpacing"/>
      </w:pPr>
      <w:r w:rsidRPr="00BB3634">
        <w:t xml:space="preserve">There is no rule as to how recent information has to be in order to be relevant: </w:t>
      </w:r>
      <w:r w:rsidRPr="00BB3634">
        <w:rPr>
          <w:i/>
        </w:rPr>
        <w:t xml:space="preserve">R v James, </w:t>
      </w:r>
      <w:hyperlink r:id="rId118" w:history="1">
        <w:r w:rsidRPr="00AC21E9">
          <w:rPr>
            <w:rStyle w:val="Hyperlink"/>
          </w:rPr>
          <w:t>2019 ONCA 288,</w:t>
        </w:r>
      </w:hyperlink>
      <w:r w:rsidRPr="00BB3634">
        <w:t xml:space="preserve"> at para 55; upheld at </w:t>
      </w:r>
      <w:hyperlink r:id="rId119" w:history="1">
        <w:r w:rsidRPr="00BB3634">
          <w:rPr>
            <w:rStyle w:val="Hyperlink"/>
          </w:rPr>
          <w:t>2019 SCC 52</w:t>
        </w:r>
      </w:hyperlink>
    </w:p>
    <w:p w14:paraId="28917DC0" w14:textId="558FD283" w:rsidR="00C616F4" w:rsidRDefault="00C616F4" w:rsidP="000B18E5">
      <w:pPr>
        <w:pStyle w:val="NoSpacing"/>
      </w:pPr>
    </w:p>
    <w:p w14:paraId="5A95F9AD" w14:textId="61DA3276" w:rsidR="00AA7AA9" w:rsidRPr="00AA7AA9" w:rsidRDefault="00AA7AA9" w:rsidP="000B18E5">
      <w:pPr>
        <w:pStyle w:val="NoSpacing"/>
      </w:pPr>
      <w:r w:rsidRPr="00AA7AA9">
        <w:t xml:space="preserve">Merely because information is "dated" does not mean it is "stale". </w:t>
      </w:r>
      <w:r>
        <w:t xml:space="preserve">However, </w:t>
      </w:r>
      <w:r w:rsidRPr="00AA7AA9">
        <w:t xml:space="preserve">the length of time that has passed is to be taken into account </w:t>
      </w:r>
      <w:r>
        <w:t xml:space="preserve"> as one factor </w:t>
      </w:r>
      <w:r w:rsidRPr="00AA7AA9">
        <w:t>in a reasonable-grounds determination</w:t>
      </w:r>
      <w:r>
        <w:t xml:space="preserve">: </w:t>
      </w:r>
      <w:r>
        <w:rPr>
          <w:i/>
        </w:rPr>
        <w:t xml:space="preserve">R v Fuller, </w:t>
      </w:r>
      <w:hyperlink r:id="rId120" w:history="1">
        <w:r w:rsidRPr="00AA7AA9">
          <w:rPr>
            <w:rStyle w:val="Hyperlink"/>
          </w:rPr>
          <w:t>2021 ONCA 411</w:t>
        </w:r>
      </w:hyperlink>
      <w:r>
        <w:t xml:space="preserve">, at para 9 </w:t>
      </w:r>
    </w:p>
    <w:p w14:paraId="098BD791" w14:textId="77777777" w:rsidR="00AA7AA9" w:rsidRPr="00BB3634" w:rsidRDefault="00AA7AA9" w:rsidP="000B18E5">
      <w:pPr>
        <w:pStyle w:val="NoSpacing"/>
      </w:pPr>
    </w:p>
    <w:p w14:paraId="3CA1EDE8" w14:textId="34C850A7" w:rsidR="00C616F4" w:rsidRDefault="00C616F4" w:rsidP="000B18E5">
      <w:pPr>
        <w:pStyle w:val="NoSpacing"/>
        <w:rPr>
          <w:rStyle w:val="Hyperlink"/>
        </w:rPr>
      </w:pPr>
      <w:r w:rsidRPr="00BB3634">
        <w:t xml:space="preserve">Factors such as a pattern of drug dealing, and a criminal record demonstrated prior involvement in the drug trade is a relevant factor to consider in determining whether there are reasonable and probable grounds for a search: </w:t>
      </w:r>
      <w:r w:rsidRPr="00BB3634">
        <w:rPr>
          <w:i/>
        </w:rPr>
        <w:t xml:space="preserve">R v James, </w:t>
      </w:r>
      <w:r w:rsidRPr="00BB3634">
        <w:t xml:space="preserve">2019 ONCA 288, at paras 56-7; upheld at </w:t>
      </w:r>
      <w:hyperlink r:id="rId121" w:history="1">
        <w:r w:rsidRPr="00BB3634">
          <w:rPr>
            <w:rStyle w:val="Hyperlink"/>
          </w:rPr>
          <w:t>2019 SCC 52</w:t>
        </w:r>
      </w:hyperlink>
    </w:p>
    <w:p w14:paraId="03CAE592" w14:textId="19D5CFC8" w:rsidR="003B5CF2" w:rsidRDefault="003B5CF2" w:rsidP="000B18E5">
      <w:pPr>
        <w:pStyle w:val="NoSpacing"/>
        <w:rPr>
          <w:rStyle w:val="Hyperlink"/>
        </w:rPr>
      </w:pPr>
    </w:p>
    <w:p w14:paraId="66A9C089" w14:textId="591A1567" w:rsidR="003B5CF2" w:rsidRPr="00676E47" w:rsidRDefault="003B5CF2" w:rsidP="003B5CF2">
      <w:pPr>
        <w:pStyle w:val="NoSpacing"/>
      </w:pPr>
      <w:r w:rsidRPr="003B5CF2">
        <w:t>The facts underlying charges which do not result in convictions,</w:t>
      </w:r>
      <w:r>
        <w:t xml:space="preserve"> including the facts underlying stayed charges,</w:t>
      </w:r>
      <w:r w:rsidRPr="003B5CF2">
        <w:t xml:space="preserve"> in some circumstances, may be validly considered as a basis for search warrants, though in other cases will be irrelevant and improper</w:t>
      </w:r>
      <w:r>
        <w:t xml:space="preserve">: </w:t>
      </w:r>
      <w:r>
        <w:rPr>
          <w:i/>
          <w:iCs w:val="0"/>
        </w:rPr>
        <w:t xml:space="preserve">R v </w:t>
      </w:r>
      <w:r w:rsidR="00676E47">
        <w:rPr>
          <w:i/>
          <w:iCs w:val="0"/>
        </w:rPr>
        <w:t xml:space="preserve">Ribble, </w:t>
      </w:r>
      <w:hyperlink r:id="rId122" w:history="1">
        <w:r w:rsidR="00676E47" w:rsidRPr="00676E47">
          <w:rPr>
            <w:rStyle w:val="Hyperlink"/>
          </w:rPr>
          <w:t>2021 ONCA 897</w:t>
        </w:r>
      </w:hyperlink>
      <w:r w:rsidR="00676E47">
        <w:t xml:space="preserve">, at para 9 </w:t>
      </w:r>
    </w:p>
    <w:p w14:paraId="3A90F8E8" w14:textId="77777777" w:rsidR="003B5CF2" w:rsidRPr="00BB3634" w:rsidRDefault="003B5CF2" w:rsidP="000B18E5">
      <w:pPr>
        <w:pStyle w:val="NoSpacing"/>
      </w:pPr>
    </w:p>
    <w:p w14:paraId="67C2F389" w14:textId="77777777" w:rsidR="009E6FF5" w:rsidRPr="00BB3634" w:rsidRDefault="009E6FF5" w:rsidP="000B18E5">
      <w:pPr>
        <w:pStyle w:val="NoSpacing"/>
      </w:pPr>
    </w:p>
    <w:p w14:paraId="1E8F49EC" w14:textId="2431AE6B" w:rsidR="009E6FF5" w:rsidRPr="00BB3634" w:rsidRDefault="009E6FF5" w:rsidP="00BB3634">
      <w:pPr>
        <w:pStyle w:val="Heading4"/>
        <w:spacing w:line="276" w:lineRule="auto"/>
        <w:rPr>
          <w:rFonts w:cs="Arial"/>
          <w:sz w:val="24"/>
          <w:szCs w:val="24"/>
        </w:rPr>
      </w:pPr>
      <w:r w:rsidRPr="00BB3634">
        <w:rPr>
          <w:rFonts w:cs="Arial"/>
          <w:sz w:val="24"/>
          <w:szCs w:val="24"/>
        </w:rPr>
        <w:lastRenderedPageBreak/>
        <w:t>Manner of Execution</w:t>
      </w:r>
    </w:p>
    <w:p w14:paraId="7A13A378" w14:textId="77777777" w:rsidR="009E6FF5" w:rsidRPr="00BB3634" w:rsidRDefault="009E6FF5" w:rsidP="000B18E5">
      <w:pPr>
        <w:pStyle w:val="NoSpacing"/>
      </w:pPr>
    </w:p>
    <w:p w14:paraId="5E733066" w14:textId="77777777" w:rsidR="009E6FF5" w:rsidRPr="00BB3634" w:rsidRDefault="009E6FF5" w:rsidP="000B18E5">
      <w:pPr>
        <w:pStyle w:val="NoSpacing"/>
      </w:pPr>
      <w:r w:rsidRPr="00BB3634">
        <w:t>Police choices about equipment and the manner of execution of a search need not be included in the ITO. These decisions are better considered as part of the inquiry into whether the search was conducted in a reasonable manner. This is supported by the fact that the statutory form used for an ITO, Form 1, makes no reference to the manner of execution: </w:t>
      </w:r>
      <w:r w:rsidRPr="00BB3634">
        <w:rPr>
          <w:i/>
        </w:rPr>
        <w:t>R v Rutledge, </w:t>
      </w:r>
      <w:hyperlink r:id="rId123" w:tgtFrame="_blank" w:history="1">
        <w:r w:rsidRPr="00BB3634">
          <w:rPr>
            <w:u w:val="single"/>
          </w:rPr>
          <w:t>2017 ONCA 635</w:t>
        </w:r>
      </w:hyperlink>
      <w:r w:rsidRPr="00BB3634">
        <w:t> at para 22</w:t>
      </w:r>
    </w:p>
    <w:p w14:paraId="3D05B220" w14:textId="77777777" w:rsidR="009E6FF5" w:rsidRPr="00BB3634" w:rsidRDefault="009E6FF5" w:rsidP="000B18E5">
      <w:pPr>
        <w:pStyle w:val="NoSpacing"/>
      </w:pPr>
    </w:p>
    <w:p w14:paraId="78A03516" w14:textId="77777777" w:rsidR="00BB3634" w:rsidRPr="00BB3634" w:rsidRDefault="00BB3634" w:rsidP="000B18E5">
      <w:pPr>
        <w:pStyle w:val="NoSpacing"/>
      </w:pPr>
    </w:p>
    <w:p w14:paraId="5A17B996" w14:textId="2F59D1C9" w:rsidR="00BF14D7" w:rsidRPr="00BB3634" w:rsidRDefault="00BF14D7" w:rsidP="007A6720">
      <w:pPr>
        <w:pStyle w:val="Heading3"/>
        <w:numPr>
          <w:ilvl w:val="0"/>
          <w:numId w:val="14"/>
        </w:numPr>
      </w:pPr>
      <w:bookmarkStart w:id="40" w:name="_Toc94360126"/>
      <w:r w:rsidRPr="00BB3634">
        <w:t>Facial Validity of Warrant</w:t>
      </w:r>
      <w:bookmarkEnd w:id="40"/>
    </w:p>
    <w:p w14:paraId="5B37A820" w14:textId="3304584E" w:rsidR="00BF14D7" w:rsidRDefault="00BF14D7" w:rsidP="000B18E5">
      <w:pPr>
        <w:pStyle w:val="NoSpacing"/>
      </w:pPr>
      <w:r w:rsidRPr="00BB3634">
        <w:t>In order to be facially valid, it is fundamental that a warrant contain an adequate description of: 1) the offence; 2) the place to be searched; and 3) the articles to be seized: </w:t>
      </w:r>
      <w:r w:rsidRPr="00BB3634">
        <w:rPr>
          <w:i/>
        </w:rPr>
        <w:t>R v Ting, </w:t>
      </w:r>
      <w:r w:rsidRPr="00BB3634">
        <w:rPr>
          <w:u w:val="single"/>
        </w:rPr>
        <w:t>2016 ONCA 57</w:t>
      </w:r>
      <w:r w:rsidRPr="00BB3634">
        <w:t> at para 50; </w:t>
      </w:r>
      <w:r w:rsidRPr="00BB3634">
        <w:rPr>
          <w:i/>
        </w:rPr>
        <w:t>R v Saint, </w:t>
      </w:r>
      <w:hyperlink r:id="rId124" w:tgtFrame="_blank" w:history="1">
        <w:r w:rsidRPr="00BB3634">
          <w:rPr>
            <w:u w:val="single"/>
          </w:rPr>
          <w:t>2017 ONCA 49</w:t>
        </w:r>
      </w:hyperlink>
      <w:r w:rsidRPr="00BB3634">
        <w:t>1</w:t>
      </w:r>
    </w:p>
    <w:p w14:paraId="48BC8120" w14:textId="77777777" w:rsidR="00BB3634" w:rsidRPr="00BB3634" w:rsidRDefault="00BB3634" w:rsidP="000B18E5">
      <w:pPr>
        <w:pStyle w:val="NoSpacing"/>
      </w:pPr>
    </w:p>
    <w:p w14:paraId="0139BE67" w14:textId="77777777" w:rsidR="00BF14D7" w:rsidRPr="00BB3634" w:rsidRDefault="00BF14D7" w:rsidP="00BB3634">
      <w:pPr>
        <w:spacing w:line="276" w:lineRule="auto"/>
        <w:jc w:val="both"/>
        <w:textAlignment w:val="baseline"/>
        <w:rPr>
          <w:rFonts w:ascii="Arial" w:hAnsi="Arial" w:cs="Arial"/>
        </w:rPr>
      </w:pPr>
      <w:r w:rsidRPr="00BB3634">
        <w:rPr>
          <w:rFonts w:ascii="Arial" w:hAnsi="Arial" w:cs="Arial"/>
        </w:rPr>
        <w:t> </w:t>
      </w:r>
    </w:p>
    <w:p w14:paraId="7A211598" w14:textId="3F9F5509" w:rsidR="00BF14D7" w:rsidRPr="00BB3634" w:rsidRDefault="00BF14D7" w:rsidP="00BB3634">
      <w:pPr>
        <w:pStyle w:val="Heading4"/>
        <w:numPr>
          <w:ilvl w:val="0"/>
          <w:numId w:val="26"/>
        </w:numPr>
        <w:spacing w:line="276" w:lineRule="auto"/>
        <w:rPr>
          <w:rFonts w:cs="Arial"/>
          <w:sz w:val="24"/>
          <w:szCs w:val="24"/>
        </w:rPr>
      </w:pPr>
      <w:r w:rsidRPr="00BB3634">
        <w:rPr>
          <w:rFonts w:cs="Arial"/>
          <w:sz w:val="24"/>
          <w:szCs w:val="24"/>
        </w:rPr>
        <w:t>The Place to be Searched</w:t>
      </w:r>
    </w:p>
    <w:p w14:paraId="6AD8A697" w14:textId="77777777" w:rsidR="00155813" w:rsidRPr="00BB3634" w:rsidRDefault="00155813" w:rsidP="000B18E5">
      <w:pPr>
        <w:pStyle w:val="NoSpacing"/>
      </w:pPr>
    </w:p>
    <w:p w14:paraId="434D2B6E" w14:textId="6D58F49E" w:rsidR="00BF14D7" w:rsidRPr="00BB3634" w:rsidRDefault="00BF14D7" w:rsidP="000B18E5">
      <w:pPr>
        <w:pStyle w:val="NoSpacing"/>
      </w:pPr>
      <w:r w:rsidRPr="00BB3634">
        <w:t>Without an adequate description of the place to be searched, a warrant is invalid because: 1) the issuing justice cannot be assured that s/he is not granting too broad an authorization, or an authorization without proper reason; 2) the police officers called on to execute the search warrant would not know the scope of their search powers; and 3) those subject to the warrant would be left in doubt as to whether there is valid authorization for those searching their premises: see </w:t>
      </w:r>
      <w:r w:rsidRPr="00BB3634">
        <w:rPr>
          <w:i/>
        </w:rPr>
        <w:t>Ting; Saint </w:t>
      </w:r>
      <w:r w:rsidRPr="00BB3634">
        <w:t>at para 7</w:t>
      </w:r>
    </w:p>
    <w:p w14:paraId="08AD35A8" w14:textId="77777777" w:rsidR="00155813" w:rsidRPr="00BB3634" w:rsidRDefault="00155813" w:rsidP="000B18E5">
      <w:pPr>
        <w:pStyle w:val="NoSpacing"/>
      </w:pPr>
    </w:p>
    <w:p w14:paraId="0287EF2F" w14:textId="77777777" w:rsidR="00BF14D7" w:rsidRPr="00BB3634" w:rsidRDefault="00BF14D7" w:rsidP="000B18E5">
      <w:pPr>
        <w:pStyle w:val="NoSpacing"/>
      </w:pPr>
      <w:r w:rsidRPr="00BB3634">
        <w:t>Just what constitutes an adequate description will vary with the location to be searched and the circumstances of each case.</w:t>
      </w:r>
    </w:p>
    <w:p w14:paraId="33EF97D8" w14:textId="77777777" w:rsidR="00BF14D7" w:rsidRPr="00BB3634" w:rsidRDefault="00BF14D7" w:rsidP="000B18E5">
      <w:pPr>
        <w:pStyle w:val="NoSpacing"/>
      </w:pPr>
      <w:r w:rsidRPr="00BB3634">
        <w:t> </w:t>
      </w:r>
    </w:p>
    <w:p w14:paraId="09A11509" w14:textId="77777777" w:rsidR="00BF14D7" w:rsidRPr="00BB3634" w:rsidRDefault="00BF14D7" w:rsidP="000B18E5">
      <w:pPr>
        <w:pStyle w:val="NoSpacing"/>
      </w:pPr>
      <w:r w:rsidRPr="00BB3634">
        <w:t>With respect to a multi-unit, multi-use building, as seen in this case, the description must adequately differentiate the units within the building: </w:t>
      </w:r>
      <w:r w:rsidRPr="00BB3634">
        <w:rPr>
          <w:i/>
        </w:rPr>
        <w:t>R v Ting, </w:t>
      </w:r>
      <w:hyperlink r:id="rId125" w:tgtFrame="_blank" w:history="1">
        <w:r w:rsidRPr="00BB3634">
          <w:rPr>
            <w:u w:val="single"/>
          </w:rPr>
          <w:t>2016 ONCA 57</w:t>
        </w:r>
      </w:hyperlink>
      <w:r w:rsidRPr="00BB3634">
        <w:t> at paras 48-51</w:t>
      </w:r>
    </w:p>
    <w:p w14:paraId="03B0C367" w14:textId="77777777" w:rsidR="00BF14D7" w:rsidRPr="00BB3634" w:rsidRDefault="00BF14D7" w:rsidP="000B18E5">
      <w:pPr>
        <w:pStyle w:val="NoSpacing"/>
      </w:pPr>
      <w:r w:rsidRPr="00BB3634">
        <w:t> </w:t>
      </w:r>
    </w:p>
    <w:p w14:paraId="2F4504AF" w14:textId="77777777" w:rsidR="00BF14D7" w:rsidRPr="00BB3634" w:rsidRDefault="00BF14D7" w:rsidP="000B18E5">
      <w:pPr>
        <w:pStyle w:val="NoSpacing"/>
      </w:pPr>
      <w:r w:rsidRPr="00BB3634">
        <w:t>It is not enough for the ITO to accurately describe the premises to be searched. For a search warrant to fulfill its functions, those who are relying on it – including police officers who are executing it and third parties whose cooperation is sought – must not be required to look past the warrant to the ITO: </w:t>
      </w:r>
      <w:r w:rsidRPr="00BB3634">
        <w:rPr>
          <w:i/>
        </w:rPr>
        <w:t>R v Ting, </w:t>
      </w:r>
      <w:r w:rsidRPr="00BB3634">
        <w:rPr>
          <w:u w:val="single"/>
        </w:rPr>
        <w:t>2016 ONCA 57</w:t>
      </w:r>
      <w:r w:rsidRPr="00BB3634">
        <w:t> at paras 59-60</w:t>
      </w:r>
    </w:p>
    <w:p w14:paraId="05D1853F" w14:textId="77777777" w:rsidR="00BF14D7" w:rsidRPr="00BB3634" w:rsidRDefault="00BF14D7" w:rsidP="000B18E5">
      <w:pPr>
        <w:pStyle w:val="NoSpacing"/>
      </w:pPr>
      <w:r w:rsidRPr="00BB3634">
        <w:t> </w:t>
      </w:r>
    </w:p>
    <w:p w14:paraId="51F162EE" w14:textId="77777777" w:rsidR="00BF14D7" w:rsidRPr="00BB3634" w:rsidRDefault="00BF14D7" w:rsidP="000B18E5">
      <w:pPr>
        <w:pStyle w:val="NoSpacing"/>
      </w:pPr>
      <w:r w:rsidRPr="00BB3634">
        <w:lastRenderedPageBreak/>
        <w:t>The inadequacy of the warrant is not remedied by the fact that the police nonetheless executed the warrant at the correct residence, because in such circumstances they may be guided by their personal knowledge of the premises to be searched, not by the warrant itself: </w:t>
      </w:r>
      <w:r w:rsidRPr="00BB3634">
        <w:rPr>
          <w:i/>
        </w:rPr>
        <w:t>R v Ting, </w:t>
      </w:r>
      <w:r w:rsidRPr="00BB3634">
        <w:t>2016 ONCA 57 at para 61</w:t>
      </w:r>
    </w:p>
    <w:p w14:paraId="346D2246" w14:textId="77777777" w:rsidR="00BF14D7" w:rsidRPr="00BB3634" w:rsidRDefault="00BF14D7" w:rsidP="000B18E5">
      <w:pPr>
        <w:pStyle w:val="NoSpacing"/>
      </w:pPr>
      <w:r w:rsidRPr="00BB3634">
        <w:t> </w:t>
      </w:r>
    </w:p>
    <w:p w14:paraId="59C89ACA" w14:textId="6F8F21A8" w:rsidR="00BF14D7" w:rsidRPr="00BB3634" w:rsidRDefault="00BF14D7" w:rsidP="000B18E5">
      <w:pPr>
        <w:pStyle w:val="NoSpacing"/>
      </w:pPr>
      <w:r w:rsidRPr="00BB3634">
        <w:t>If police enter the wrong premises based on a facially invalid ITO, and then promptly leave, the intiial entry does not preclude obtaining a second warrant properly identifying the premise to be searched. If, however, they remain and search the premises and remain present until a second warrant is obtained, the second warrant is invalid: </w:t>
      </w:r>
      <w:r w:rsidRPr="00BB3634">
        <w:rPr>
          <w:i/>
        </w:rPr>
        <w:t>R v Ting, </w:t>
      </w:r>
      <w:r w:rsidRPr="00BB3634">
        <w:rPr>
          <w:u w:val="single"/>
        </w:rPr>
        <w:t>2016 ONCA 57</w:t>
      </w:r>
      <w:r w:rsidRPr="00BB3634">
        <w:t> at paras 54-55</w:t>
      </w:r>
    </w:p>
    <w:p w14:paraId="610B2D9B" w14:textId="04E16BA7" w:rsidR="00F65722" w:rsidRPr="00BB3634" w:rsidRDefault="00F65722" w:rsidP="000B18E5">
      <w:pPr>
        <w:pStyle w:val="NoSpacing"/>
      </w:pPr>
    </w:p>
    <w:p w14:paraId="56EB9F10" w14:textId="0045BCFB" w:rsidR="00F65722" w:rsidRPr="00BB3634" w:rsidRDefault="00F65722" w:rsidP="000B18E5">
      <w:pPr>
        <w:pStyle w:val="NoSpacing"/>
      </w:pPr>
      <w:r w:rsidRPr="00BB3634">
        <w:t xml:space="preserve">Where an ITO establishes sufficient grounds to believe that any electronic devices in the residence will yield evidence of an offence, and the warrant authorizes a search of those devices, police are justified in searching any such devices, notwithstanding that they belong to persons other than the target of the warrant. The ITO does not need to mention the device owner or identify him/her specifically as a target for the warrant to authorize a search of their device (though it should do so if such evidence is available): </w:t>
      </w:r>
      <w:r w:rsidRPr="00BB3634">
        <w:rPr>
          <w:i/>
        </w:rPr>
        <w:t xml:space="preserve">R v </w:t>
      </w:r>
      <w:r w:rsidR="00AC21E9">
        <w:rPr>
          <w:i/>
        </w:rPr>
        <w:t>McNeil</w:t>
      </w:r>
      <w:r w:rsidRPr="00BB3634">
        <w:rPr>
          <w:i/>
        </w:rPr>
        <w:t xml:space="preserve">, </w:t>
      </w:r>
      <w:hyperlink r:id="rId126" w:history="1">
        <w:r w:rsidRPr="00BB3634">
          <w:rPr>
            <w:rStyle w:val="Hyperlink"/>
          </w:rPr>
          <w:t>2020 ONCA 313</w:t>
        </w:r>
      </w:hyperlink>
    </w:p>
    <w:p w14:paraId="7FE71C88" w14:textId="77777777" w:rsidR="00BF14D7" w:rsidRPr="00BB3634" w:rsidRDefault="00BF14D7" w:rsidP="00BB3634">
      <w:pPr>
        <w:spacing w:line="276" w:lineRule="auto"/>
        <w:textAlignment w:val="baseline"/>
        <w:rPr>
          <w:rFonts w:ascii="Arial" w:hAnsi="Arial" w:cs="Arial"/>
        </w:rPr>
      </w:pPr>
      <w:r w:rsidRPr="00BB3634">
        <w:rPr>
          <w:rFonts w:ascii="Arial" w:hAnsi="Arial" w:cs="Arial"/>
        </w:rPr>
        <w:t> </w:t>
      </w:r>
    </w:p>
    <w:p w14:paraId="5C079D31" w14:textId="0805AF30" w:rsidR="00BF14D7" w:rsidRPr="00BB3634" w:rsidRDefault="00BF14D7" w:rsidP="00BB3634">
      <w:pPr>
        <w:pStyle w:val="Heading4"/>
        <w:spacing w:line="276" w:lineRule="auto"/>
        <w:rPr>
          <w:rFonts w:cs="Arial"/>
          <w:sz w:val="24"/>
          <w:szCs w:val="24"/>
        </w:rPr>
      </w:pPr>
      <w:r w:rsidRPr="00BB3634">
        <w:rPr>
          <w:rFonts w:cs="Arial"/>
          <w:sz w:val="24"/>
          <w:szCs w:val="24"/>
        </w:rPr>
        <w:t>The date of execution of a warrant</w:t>
      </w:r>
    </w:p>
    <w:p w14:paraId="1E495072" w14:textId="77777777" w:rsidR="001C206E" w:rsidRPr="00BB3634" w:rsidRDefault="001C206E" w:rsidP="000B18E5">
      <w:pPr>
        <w:pStyle w:val="NoSpacing"/>
      </w:pPr>
    </w:p>
    <w:p w14:paraId="2B264834" w14:textId="77777777" w:rsidR="00BF14D7" w:rsidRPr="00BB3634" w:rsidRDefault="00BF14D7" w:rsidP="000B18E5">
      <w:pPr>
        <w:pStyle w:val="NoSpacing"/>
      </w:pPr>
      <w:r w:rsidRPr="00BB3634">
        <w:t>A non-expiring warrant would undermine the purposes for the warrant requirement in the first place: facilitating meaningful judicial pre-authorization; directing and limiting the police in the execution of the search; and allowing occupants to understand the scope of their obligation to cooperate with the search.</w:t>
      </w:r>
    </w:p>
    <w:p w14:paraId="76ACBFD7" w14:textId="77777777" w:rsidR="00BF14D7" w:rsidRPr="00BB3634" w:rsidRDefault="00BF14D7" w:rsidP="000B18E5">
      <w:pPr>
        <w:pStyle w:val="NoSpacing"/>
      </w:pPr>
      <w:r w:rsidRPr="00BB3634">
        <w:t> </w:t>
      </w:r>
    </w:p>
    <w:p w14:paraId="5C4889D9" w14:textId="77777777" w:rsidR="00BF14D7" w:rsidRPr="00BB3634" w:rsidRDefault="00BF14D7" w:rsidP="000B18E5">
      <w:pPr>
        <w:pStyle w:val="NoSpacing"/>
      </w:pPr>
      <w:r w:rsidRPr="00BB3634">
        <w:t>There is an implied requirement that warrants be executed within a reasonable time of being issued. Warrants that are not executed within a reasonable time, whether because of delayed execution or because an unreasonable time frame is expressly authorized by the warrant, have long attracted judicial disapprobation: </w:t>
      </w:r>
      <w:r w:rsidRPr="00BB3634">
        <w:rPr>
          <w:i/>
        </w:rPr>
        <w:t>R v Saint, </w:t>
      </w:r>
      <w:hyperlink r:id="rId127" w:tgtFrame="_blank" w:history="1">
        <w:r w:rsidRPr="00BB3634">
          <w:rPr>
            <w:u w:val="single"/>
          </w:rPr>
          <w:t>2017 ONCA 49</w:t>
        </w:r>
      </w:hyperlink>
      <w:r w:rsidRPr="00BB3634">
        <w:t>1 at para 9</w:t>
      </w:r>
    </w:p>
    <w:p w14:paraId="65DD35A7" w14:textId="77777777" w:rsidR="00BF14D7" w:rsidRPr="00BB3634" w:rsidRDefault="00BF14D7" w:rsidP="000B18E5">
      <w:pPr>
        <w:pStyle w:val="NoSpacing"/>
      </w:pPr>
      <w:r w:rsidRPr="00BB3634">
        <w:t>​</w:t>
      </w:r>
    </w:p>
    <w:p w14:paraId="7260301E" w14:textId="79507299" w:rsidR="00BF14D7" w:rsidRPr="00BB3634" w:rsidRDefault="001C206E" w:rsidP="000B18E5">
      <w:pPr>
        <w:pStyle w:val="NoSpacing"/>
      </w:pPr>
      <w:r w:rsidRPr="00BB3634">
        <w:t>Where, ho</w:t>
      </w:r>
      <w:r w:rsidR="00BF14D7" w:rsidRPr="00BB3634">
        <w:t xml:space="preserve">wever, the Information to Obtain requested a warrant to permit police to enter the residence on a specific day, and the warrant was on that day, and no other date appears on the warrant, it is implicit that the warrant that was sought was intended to be executed on the day it was issued. In such a circumstance, the date of issuance stated on the warrant is also the date for execution: an </w:t>
      </w:r>
      <w:r w:rsidR="00BF14D7" w:rsidRPr="00BB3634">
        <w:lastRenderedPageBreak/>
        <w:t>express specification of the date for execution would be superfluous: </w:t>
      </w:r>
      <w:r w:rsidR="00BF14D7" w:rsidRPr="00BB3634">
        <w:rPr>
          <w:i/>
        </w:rPr>
        <w:t>Saint </w:t>
      </w:r>
      <w:r w:rsidR="00BF14D7" w:rsidRPr="00BB3634">
        <w:t>at para 19</w:t>
      </w:r>
    </w:p>
    <w:p w14:paraId="6F22D0AD" w14:textId="77777777" w:rsidR="00BF14D7" w:rsidRPr="00BB3634" w:rsidRDefault="00BF14D7" w:rsidP="000B18E5">
      <w:pPr>
        <w:pStyle w:val="NoSpacing"/>
      </w:pPr>
      <w:r w:rsidRPr="00BB3634">
        <w:t> </w:t>
      </w:r>
    </w:p>
    <w:p w14:paraId="25AC7EB3" w14:textId="77777777" w:rsidR="00BF14D7" w:rsidRPr="00BB3634" w:rsidRDefault="00BF14D7" w:rsidP="000B18E5">
      <w:pPr>
        <w:pStyle w:val="NoSpacing"/>
      </w:pPr>
      <w:r w:rsidRPr="00BB3634">
        <w:t>See, for example, </w:t>
      </w:r>
      <w:r w:rsidRPr="00BB3634">
        <w:rPr>
          <w:i/>
        </w:rPr>
        <w:t>R v Malik</w:t>
      </w:r>
      <w:r w:rsidRPr="00BB3634">
        <w:t>, </w:t>
      </w:r>
      <w:hyperlink r:id="rId128" w:tgtFrame="_blank" w:history="1">
        <w:r w:rsidRPr="00BB3634">
          <w:t>2002 BCSC 1731</w:t>
        </w:r>
      </w:hyperlink>
      <w:r w:rsidRPr="00BB3634">
        <w:t>, where the Crown conceded that a warrant that similarly authorized a search “at any time” was open-ended and therefore invalid, and that a search conducted two days after the warrant was issued violated s. 8 of the Charter;</w:t>
      </w:r>
    </w:p>
    <w:p w14:paraId="65856A9F" w14:textId="77777777" w:rsidR="00BF14D7" w:rsidRPr="00BB3634" w:rsidRDefault="00BF14D7" w:rsidP="000B18E5">
      <w:pPr>
        <w:pStyle w:val="NoSpacing"/>
      </w:pPr>
      <w:r w:rsidRPr="00BB3634">
        <w:t> </w:t>
      </w:r>
    </w:p>
    <w:p w14:paraId="4A584E8C" w14:textId="77777777" w:rsidR="00BF14D7" w:rsidRPr="00BB3634" w:rsidRDefault="00BF14D7" w:rsidP="000B18E5">
      <w:pPr>
        <w:pStyle w:val="NoSpacing"/>
      </w:pPr>
      <w:r w:rsidRPr="00BB3634">
        <w:t>But see also </w:t>
      </w:r>
      <w:r w:rsidRPr="00BB3634">
        <w:rPr>
          <w:i/>
        </w:rPr>
        <w:t>R v Shivrattan</w:t>
      </w:r>
      <w:r w:rsidRPr="00BB3634">
        <w:t>, </w:t>
      </w:r>
      <w:hyperlink r:id="rId129" w:tgtFrame="_blank" w:history="1">
        <w:r w:rsidRPr="00BB3634">
          <w:rPr>
            <w:u w:val="single"/>
          </w:rPr>
          <w:t>2017 ONCA 23.</w:t>
        </w:r>
      </w:hyperlink>
      <w:r w:rsidRPr="00BB3634">
        <w:t> In that case, and in the context of assessing the reasonableness of a nighttime search pursuant to a CDSA warrant, Doherty J.A. interpreted “at any time” in s. 11 of the CDSA as obviating the need for special justification for execution after 9:00 p.m. for warrants issued under the </w:t>
      </w:r>
      <w:r w:rsidRPr="00BB3634">
        <w:rPr>
          <w:i/>
        </w:rPr>
        <w:t>Criminal Code,</w:t>
      </w:r>
      <w:r w:rsidRPr="00BB3634">
        <w:t> as required by s. 488 of the Criminal Code.</w:t>
      </w:r>
    </w:p>
    <w:p w14:paraId="4A7EFED6" w14:textId="77777777" w:rsidR="000C3700" w:rsidRPr="00BB3634" w:rsidRDefault="000C3700" w:rsidP="000B18E5">
      <w:pPr>
        <w:pStyle w:val="NoSpacing"/>
      </w:pPr>
    </w:p>
    <w:p w14:paraId="3DB573A2" w14:textId="0E6FAA00" w:rsidR="00BF14D7" w:rsidRPr="00BB3634" w:rsidRDefault="000C3700" w:rsidP="000B18E5">
      <w:pPr>
        <w:pStyle w:val="NoSpacing"/>
      </w:pPr>
      <w:r w:rsidRPr="00BB3634">
        <w:t xml:space="preserve">The prospective execution of a search, based on a future contingency, together with the simultaneous execution of related searches is not contemplated by a conventional search warrant: </w:t>
      </w:r>
      <w:r w:rsidRPr="00BB3634">
        <w:rPr>
          <w:i/>
        </w:rPr>
        <w:t xml:space="preserve">R v Jodoin, </w:t>
      </w:r>
      <w:hyperlink r:id="rId130" w:history="1">
        <w:r w:rsidRPr="00BB3634">
          <w:rPr>
            <w:rStyle w:val="Hyperlink"/>
          </w:rPr>
          <w:t>2018 ONCA 638</w:t>
        </w:r>
      </w:hyperlink>
      <w:r w:rsidRPr="00BB3634">
        <w:t xml:space="preserve"> at para 19</w:t>
      </w:r>
    </w:p>
    <w:p w14:paraId="7521DD59" w14:textId="17DF318A" w:rsidR="00BF14D7" w:rsidRPr="00BB3634" w:rsidRDefault="00BF14D7" w:rsidP="007A6720">
      <w:pPr>
        <w:pStyle w:val="Heading3"/>
        <w:numPr>
          <w:ilvl w:val="0"/>
          <w:numId w:val="14"/>
        </w:numPr>
      </w:pPr>
      <w:bookmarkStart w:id="41" w:name="_Toc94360127"/>
      <w:r w:rsidRPr="00BB3634">
        <w:t>Amplification of the Warrant</w:t>
      </w:r>
      <w:bookmarkEnd w:id="41"/>
    </w:p>
    <w:p w14:paraId="2F3594D2" w14:textId="77777777" w:rsidR="00BF14D7" w:rsidRPr="00BB3634" w:rsidRDefault="00BF14D7" w:rsidP="000B18E5">
      <w:pPr>
        <w:pStyle w:val="NoSpacing"/>
      </w:pPr>
      <w:r w:rsidRPr="00BB3634">
        <w:t> </w:t>
      </w:r>
    </w:p>
    <w:p w14:paraId="359B0EF0" w14:textId="77777777" w:rsidR="00BF14D7" w:rsidRPr="00BB3634" w:rsidRDefault="00BF14D7" w:rsidP="000B18E5">
      <w:pPr>
        <w:pStyle w:val="NoSpacing"/>
      </w:pPr>
      <w:r w:rsidRPr="00BB3634">
        <w:t>When a reviewing judge determines whether the warrant could have been issued, s/he may be permitted to rely on “amplification evidence”, which is additional evidence presented at the voir dire.</w:t>
      </w:r>
    </w:p>
    <w:p w14:paraId="1898CE14" w14:textId="77777777" w:rsidR="00BF14D7" w:rsidRPr="00BB3634" w:rsidRDefault="00BF14D7" w:rsidP="000B18E5">
      <w:pPr>
        <w:pStyle w:val="NoSpacing"/>
      </w:pPr>
    </w:p>
    <w:p w14:paraId="39269448" w14:textId="77777777" w:rsidR="00BF14D7" w:rsidRPr="00BB3634" w:rsidRDefault="00BF14D7" w:rsidP="000B18E5">
      <w:pPr>
        <w:pStyle w:val="NoSpacing"/>
      </w:pPr>
      <w:r w:rsidRPr="00BB3634">
        <w:t>The limitations to the use of amplification evidence include that: 1) it is not a means for the police to adduce additional information so as to retroactively authorize a search that was not initially supported by reasonable and probable grounds; 2) It cannot be used to provide evidence that was not known to the police at the time the ITO was sworn; 3) it is to be used only to correct “some minor, technical error in the drafting of the affidavit material” so as not to “put form above substance in situations where the police had the requisite reasonable and probable grounds and had demonstrated investigative necessity but had, in good faith, made” such errors: </w:t>
      </w:r>
      <w:r w:rsidRPr="00BB3634">
        <w:rPr>
          <w:i/>
        </w:rPr>
        <w:t>R v Ting, </w:t>
      </w:r>
      <w:hyperlink r:id="rId131" w:tgtFrame="_blank" w:history="1">
        <w:r w:rsidRPr="00BB3634">
          <w:rPr>
            <w:u w:val="single"/>
          </w:rPr>
          <w:t>2016 ONCA 57</w:t>
        </w:r>
      </w:hyperlink>
      <w:r w:rsidRPr="00BB3634">
        <w:t> at paras 63-64, 70</w:t>
      </w:r>
    </w:p>
    <w:p w14:paraId="18135EC8" w14:textId="77777777" w:rsidR="00BF14D7" w:rsidRPr="00BB3634" w:rsidRDefault="00BF14D7" w:rsidP="000B18E5">
      <w:pPr>
        <w:pStyle w:val="NoSpacing"/>
      </w:pPr>
      <w:r w:rsidRPr="00BB3634">
        <w:t>​</w:t>
      </w:r>
    </w:p>
    <w:p w14:paraId="48AB8E22" w14:textId="77BCAD25" w:rsidR="001006B3" w:rsidRPr="00BB3634" w:rsidRDefault="001006B3" w:rsidP="000B18E5">
      <w:pPr>
        <w:pStyle w:val="NoSpacing"/>
      </w:pPr>
      <w:r w:rsidRPr="00BB3634">
        <w:t>Amplification evidence may be used to correct good faith errors of the police in preparing the ITO, as long as it was available at the time of the warrant application: </w:t>
      </w:r>
      <w:r w:rsidRPr="00BB3634">
        <w:rPr>
          <w:i/>
        </w:rPr>
        <w:t xml:space="preserve">R v Lowe, </w:t>
      </w:r>
      <w:hyperlink r:id="rId132" w:history="1">
        <w:r w:rsidRPr="00BB3634">
          <w:rPr>
            <w:rStyle w:val="Hyperlink"/>
          </w:rPr>
          <w:t>2018 ONCA 110</w:t>
        </w:r>
      </w:hyperlink>
      <w:r w:rsidRPr="00BB3634">
        <w:t xml:space="preserve"> at para 38</w:t>
      </w:r>
    </w:p>
    <w:p w14:paraId="5E354893" w14:textId="482BDE28" w:rsidR="001006B3" w:rsidRPr="00BB3634" w:rsidRDefault="001006B3" w:rsidP="000B18E5">
      <w:pPr>
        <w:pStyle w:val="NoSpacing"/>
      </w:pPr>
    </w:p>
    <w:p w14:paraId="55F66FD5" w14:textId="77777777" w:rsidR="005956AC" w:rsidRPr="00BB3634" w:rsidRDefault="005956AC" w:rsidP="000B18E5">
      <w:pPr>
        <w:pStyle w:val="NoSpacing"/>
      </w:pPr>
    </w:p>
    <w:p w14:paraId="1F8014DA" w14:textId="2EDF7640" w:rsidR="00D6588A" w:rsidRDefault="00BF14D7" w:rsidP="007A6720">
      <w:pPr>
        <w:pStyle w:val="Heading3"/>
        <w:numPr>
          <w:ilvl w:val="0"/>
          <w:numId w:val="14"/>
        </w:numPr>
      </w:pPr>
      <w:bookmarkStart w:id="42" w:name="_Toc94360128"/>
      <w:r w:rsidRPr="00BB3634">
        <w:lastRenderedPageBreak/>
        <w:t>Excising the Warrant</w:t>
      </w:r>
      <w:bookmarkEnd w:id="42"/>
    </w:p>
    <w:p w14:paraId="70A0E759" w14:textId="77777777" w:rsidR="00D6588A" w:rsidRDefault="00D6588A" w:rsidP="000B18E5">
      <w:pPr>
        <w:pStyle w:val="NoSpacing"/>
      </w:pPr>
    </w:p>
    <w:p w14:paraId="1264607D" w14:textId="20F48E08" w:rsidR="00D6588A" w:rsidRPr="00D6588A" w:rsidRDefault="00D6588A" w:rsidP="000B18E5">
      <w:pPr>
        <w:pStyle w:val="NoSpacing"/>
      </w:pPr>
      <w:r>
        <w:t>Unlawfully obtained information</w:t>
      </w:r>
      <w:r w:rsidRPr="00D6588A">
        <w:t xml:space="preserve"> must be excised from the information to obtain the search warrant</w:t>
      </w:r>
      <w:r>
        <w:t xml:space="preserve">: see </w:t>
      </w:r>
      <w:r>
        <w:rPr>
          <w:i/>
        </w:rPr>
        <w:t xml:space="preserve">R v Barton, </w:t>
      </w:r>
      <w:hyperlink r:id="rId133" w:history="1">
        <w:r w:rsidRPr="00D6588A">
          <w:rPr>
            <w:rStyle w:val="Hyperlink"/>
          </w:rPr>
          <w:t>2021 ONCA 451</w:t>
        </w:r>
      </w:hyperlink>
      <w:r>
        <w:t xml:space="preserve">, at para 7 </w:t>
      </w:r>
    </w:p>
    <w:p w14:paraId="6B127C13" w14:textId="77777777" w:rsidR="00D6588A" w:rsidRDefault="00D6588A" w:rsidP="000B18E5">
      <w:pPr>
        <w:pStyle w:val="NoSpacing"/>
      </w:pPr>
    </w:p>
    <w:p w14:paraId="0D4FF2A5" w14:textId="67D82BBA" w:rsidR="00BF14D7" w:rsidRDefault="00BF14D7" w:rsidP="000B18E5">
      <w:pPr>
        <w:pStyle w:val="NoSpacing"/>
      </w:pPr>
      <w:r w:rsidRPr="00BB3634">
        <w:t>A reviewing judge has no jurisdiction to excise correct information from an affidavit: </w:t>
      </w:r>
      <w:r w:rsidRPr="00BB3634">
        <w:rPr>
          <w:i/>
        </w:rPr>
        <w:t>R v Min Mac, </w:t>
      </w:r>
      <w:hyperlink r:id="rId134" w:tgtFrame="_blank" w:history="1">
        <w:r w:rsidRPr="00BB3634">
          <w:rPr>
            <w:u w:val="single"/>
          </w:rPr>
          <w:t>2016 ONCA 379</w:t>
        </w:r>
      </w:hyperlink>
      <w:r w:rsidRPr="00BB3634">
        <w:t> at para 59</w:t>
      </w:r>
    </w:p>
    <w:p w14:paraId="0F6AB7D9" w14:textId="0C1BB2B6" w:rsidR="007566D5" w:rsidRDefault="007566D5" w:rsidP="000B18E5">
      <w:pPr>
        <w:pStyle w:val="NoSpacing"/>
      </w:pPr>
    </w:p>
    <w:p w14:paraId="7D9FD870" w14:textId="610E4CBB" w:rsidR="001C206E" w:rsidRPr="005C6CA9" w:rsidRDefault="007566D5" w:rsidP="000B18E5">
      <w:pPr>
        <w:pStyle w:val="NoSpacing"/>
      </w:pPr>
      <w:r w:rsidRPr="007566D5">
        <w:t xml:space="preserve">The court may excise information obtained through the violation of third party </w:t>
      </w:r>
      <w:r w:rsidRPr="007566D5">
        <w:rPr>
          <w:i/>
        </w:rPr>
        <w:t>Charter</w:t>
      </w:r>
      <w:r w:rsidRPr="007566D5">
        <w:t xml:space="preserve"> rights. Excision is not a 24(2) remedy, which requires that the information be obtained in violation of own’s own </w:t>
      </w:r>
      <w:r w:rsidRPr="007566D5">
        <w:rPr>
          <w:i/>
        </w:rPr>
        <w:t>Charter</w:t>
      </w:r>
      <w:r w:rsidRPr="007566D5">
        <w:t xml:space="preserve"> rights: </w:t>
      </w:r>
      <w:r w:rsidRPr="007566D5">
        <w:rPr>
          <w:i/>
        </w:rPr>
        <w:t>R v. Hamid, Leyva and Andrews</w:t>
      </w:r>
      <w:r w:rsidRPr="007566D5">
        <w:t>,</w:t>
      </w:r>
      <w:r w:rsidRPr="007566D5">
        <w:rPr>
          <w:rStyle w:val="apple-converted-space"/>
          <w:bCs w:val="0"/>
        </w:rPr>
        <w:t> </w:t>
      </w:r>
      <w:hyperlink r:id="rId135" w:tooltip="http://canlii.ca/t/j34z2" w:history="1">
        <w:r w:rsidRPr="007566D5">
          <w:rPr>
            <w:rStyle w:val="Hyperlink"/>
            <w:bCs w:val="0"/>
            <w:color w:val="0563C1"/>
          </w:rPr>
          <w:t>2019 ONSC 5622</w:t>
        </w:r>
      </w:hyperlink>
      <w:r w:rsidRPr="007566D5">
        <w:t>, at para. 4</w:t>
      </w:r>
      <w:r w:rsidR="00C5395A">
        <w:t>5s</w:t>
      </w:r>
      <w:r w:rsidRPr="007566D5">
        <w:t>.</w:t>
      </w:r>
    </w:p>
    <w:p w14:paraId="11EF0047" w14:textId="18EA5446" w:rsidR="00BB3634" w:rsidRDefault="00BB3634" w:rsidP="000B18E5">
      <w:pPr>
        <w:pStyle w:val="NoSpacing"/>
      </w:pPr>
    </w:p>
    <w:p w14:paraId="70AFC8E9" w14:textId="77777777" w:rsidR="00BB3634" w:rsidRPr="00BB3634" w:rsidRDefault="00BB3634" w:rsidP="000B18E5">
      <w:pPr>
        <w:pStyle w:val="NoSpacing"/>
      </w:pPr>
    </w:p>
    <w:p w14:paraId="50F0941A" w14:textId="0868F638" w:rsidR="003B5CF2" w:rsidRDefault="001C206E" w:rsidP="007A6720">
      <w:pPr>
        <w:pStyle w:val="Heading3"/>
        <w:numPr>
          <w:ilvl w:val="0"/>
          <w:numId w:val="14"/>
        </w:numPr>
      </w:pPr>
      <w:bookmarkStart w:id="43" w:name="_Toc94360129"/>
      <w:r w:rsidRPr="00BB3634">
        <w:t>Subfacial Falidity of the Warrant</w:t>
      </w:r>
      <w:bookmarkEnd w:id="43"/>
    </w:p>
    <w:p w14:paraId="5044785A" w14:textId="77777777" w:rsidR="003B5CF2" w:rsidRDefault="003B5CF2" w:rsidP="000B18E5">
      <w:pPr>
        <w:pStyle w:val="NoSpacing"/>
      </w:pPr>
    </w:p>
    <w:p w14:paraId="52AC914E" w14:textId="039D9AB3" w:rsidR="001C206E" w:rsidRPr="00BB3634" w:rsidRDefault="001C206E" w:rsidP="000B18E5">
      <w:pPr>
        <w:pStyle w:val="NoSpacing"/>
      </w:pPr>
      <w:r w:rsidRPr="00BB3634">
        <w:t xml:space="preserve">Where police </w:t>
      </w:r>
      <w:r w:rsidR="001F4617" w:rsidRPr="00BB3634">
        <w:t>misconduct lead to the obtaining of a search warrant, the fact that</w:t>
      </w:r>
      <w:r w:rsidR="001F4617" w:rsidRPr="00BB3634">
        <w:rPr>
          <w:b/>
        </w:rPr>
        <w:t xml:space="preserve"> </w:t>
      </w:r>
      <w:r w:rsidRPr="00BB3634">
        <w:t xml:space="preserve">the issuing judge was told about the </w:t>
      </w:r>
      <w:r w:rsidR="001F4617" w:rsidRPr="00BB3634">
        <w:t>misconduct</w:t>
      </w:r>
      <w:r w:rsidRPr="00BB3634">
        <w:t xml:space="preserve"> does not impact the seriousness of the breach</w:t>
      </w:r>
      <w:r w:rsidR="001F4617" w:rsidRPr="00BB3634">
        <w:t xml:space="preserve"> under s.24(2)</w:t>
      </w:r>
      <w:r w:rsidRPr="00BB3634">
        <w:t>. It is axiomatic that there be truthful disclosure in the ITO</w:t>
      </w:r>
      <w:r w:rsidR="001F4617" w:rsidRPr="00BB3634">
        <w:t xml:space="preserve">. Anything less would compound the police misconduct: </w:t>
      </w:r>
      <w:r w:rsidR="001F4617" w:rsidRPr="00BB3634">
        <w:rPr>
          <w:i/>
        </w:rPr>
        <w:t xml:space="preserve">R v Strauss, </w:t>
      </w:r>
      <w:hyperlink r:id="rId136" w:history="1">
        <w:r w:rsidR="001F4617" w:rsidRPr="00BB3634">
          <w:rPr>
            <w:rStyle w:val="Hyperlink"/>
          </w:rPr>
          <w:t>2017 ONCA 628</w:t>
        </w:r>
      </w:hyperlink>
      <w:r w:rsidR="001F4617" w:rsidRPr="00BB3634">
        <w:t xml:space="preserve"> at para 48</w:t>
      </w:r>
    </w:p>
    <w:p w14:paraId="6852AE29" w14:textId="77777777" w:rsidR="001F4617" w:rsidRPr="00BB3634" w:rsidRDefault="001F4617" w:rsidP="000B18E5">
      <w:pPr>
        <w:pStyle w:val="NoSpacing"/>
      </w:pPr>
    </w:p>
    <w:p w14:paraId="0A7331EA" w14:textId="2442226F" w:rsidR="001F4617" w:rsidRPr="00BB3634" w:rsidRDefault="001F4617" w:rsidP="000B18E5">
      <w:pPr>
        <w:pStyle w:val="NoSpacing"/>
      </w:pPr>
      <w:r w:rsidRPr="00BB3634">
        <w:t>To rely on an after-the-fact acknowledgement of wrongdoing as a way to diminish the seriousness of a breach, and thereby achieve admission of the evidence, would give the police a licence to engage in misconduct and render the </w:t>
      </w:r>
      <w:r w:rsidRPr="00BB3634">
        <w:rPr>
          <w:i/>
        </w:rPr>
        <w:t>Charter</w:t>
      </w:r>
      <w:r w:rsidRPr="00BB3634">
        <w:t xml:space="preserve">’s protection meaningless: </w:t>
      </w:r>
      <w:r w:rsidRPr="00BB3634">
        <w:rPr>
          <w:i/>
        </w:rPr>
        <w:t xml:space="preserve">Strauss </w:t>
      </w:r>
      <w:r w:rsidRPr="00BB3634">
        <w:t>at para 50</w:t>
      </w:r>
    </w:p>
    <w:p w14:paraId="004EA02C" w14:textId="77777777" w:rsidR="001F4617" w:rsidRPr="00BB3634" w:rsidRDefault="001F4617" w:rsidP="00BB3634">
      <w:pPr>
        <w:spacing w:line="276" w:lineRule="auto"/>
        <w:rPr>
          <w:rFonts w:ascii="Arial" w:hAnsi="Arial" w:cs="Arial"/>
        </w:rPr>
      </w:pPr>
    </w:p>
    <w:p w14:paraId="582B6767" w14:textId="3F15F392" w:rsidR="001F4617" w:rsidRPr="00BB3634" w:rsidRDefault="001F4617" w:rsidP="000B18E5">
      <w:pPr>
        <w:pStyle w:val="NoSpacing"/>
      </w:pPr>
      <w:r w:rsidRPr="00BB3634">
        <w:t>A trial judge has residual discretion to set aside a search warrant, despite the presence of reasonable and probable grounds for its issuance, where the judge is satisfied that the conduct of the police has been subversive of the pre-authorization process leading to the issuance of the search authority. However, the threshold is high. Subversion requires an abuse of the pre-authorization process by non-disclosure or misleading disclosure or their like: </w:t>
      </w:r>
      <w:r w:rsidRPr="00BB3634">
        <w:rPr>
          <w:i/>
        </w:rPr>
        <w:t>R v </w:t>
      </w:r>
      <w:hyperlink r:id="rId137" w:tgtFrame="_blank" w:history="1">
        <w:r w:rsidRPr="00BB3634">
          <w:rPr>
            <w:i/>
            <w:u w:val="single"/>
          </w:rPr>
          <w:t>Paryniuk</w:t>
        </w:r>
      </w:hyperlink>
      <w:r w:rsidRPr="00BB3634">
        <w:t>, </w:t>
      </w:r>
      <w:hyperlink r:id="rId138" w:tgtFrame="_blank" w:history="1">
        <w:r w:rsidRPr="00BB3634">
          <w:rPr>
            <w:u w:val="single"/>
          </w:rPr>
          <w:t>2017 ONCA 87</w:t>
        </w:r>
      </w:hyperlink>
      <w:r w:rsidRPr="00BB3634">
        <w:t>, at paras. 62-74. </w:t>
      </w:r>
    </w:p>
    <w:p w14:paraId="482DF06B" w14:textId="256D248C" w:rsidR="00D17C80" w:rsidRPr="00BB3634" w:rsidRDefault="00D17C80" w:rsidP="000B18E5">
      <w:pPr>
        <w:pStyle w:val="NoSpacing"/>
      </w:pPr>
    </w:p>
    <w:p w14:paraId="3110BCC5" w14:textId="61D0E71B" w:rsidR="00D17C80" w:rsidRPr="00BB3634" w:rsidRDefault="00D17C80" w:rsidP="000B18E5">
      <w:pPr>
        <w:pStyle w:val="NoSpacing"/>
      </w:pPr>
      <w:r w:rsidRPr="00BB3634">
        <w:t xml:space="preserve">The obligation of full, fair and frank disclosure is not a licence to include irrelevant information; invite propensity reasoning; contest factual determinations explicit or implicit in decisions of courts of competent jurisdiction; or offer opinions </w:t>
      </w:r>
      <w:r w:rsidRPr="00BB3634">
        <w:lastRenderedPageBreak/>
        <w:t xml:space="preserve">unsupported by essential factual underpinnings: </w:t>
      </w:r>
      <w:r w:rsidRPr="00BB3634">
        <w:rPr>
          <w:i/>
        </w:rPr>
        <w:t xml:space="preserve">R v Tran, </w:t>
      </w:r>
      <w:hyperlink r:id="rId139" w:history="1">
        <w:r w:rsidRPr="00BB3634">
          <w:rPr>
            <w:rStyle w:val="Hyperlink"/>
          </w:rPr>
          <w:t>2019 ONCA 1011</w:t>
        </w:r>
      </w:hyperlink>
      <w:r w:rsidRPr="00BB3634">
        <w:t>, at para 18</w:t>
      </w:r>
    </w:p>
    <w:p w14:paraId="46F053FB" w14:textId="77777777" w:rsidR="001F4617" w:rsidRPr="00BB3634" w:rsidRDefault="001F4617" w:rsidP="000B18E5">
      <w:pPr>
        <w:pStyle w:val="NoSpacing"/>
      </w:pPr>
    </w:p>
    <w:p w14:paraId="0BE0B6EA" w14:textId="7C1DDAF3" w:rsidR="001C206E" w:rsidRPr="00BB3634" w:rsidRDefault="004B1441" w:rsidP="007A6720">
      <w:pPr>
        <w:pStyle w:val="Heading3"/>
        <w:numPr>
          <w:ilvl w:val="0"/>
          <w:numId w:val="14"/>
        </w:numPr>
      </w:pPr>
      <w:bookmarkStart w:id="44" w:name="_Toc94360130"/>
      <w:r w:rsidRPr="00BB3634">
        <w:t>Night-time Entry</w:t>
      </w:r>
      <w:bookmarkEnd w:id="44"/>
    </w:p>
    <w:p w14:paraId="08C8DC8D" w14:textId="77777777" w:rsidR="004B1441" w:rsidRPr="00BB3634" w:rsidRDefault="004B1441" w:rsidP="000B18E5">
      <w:pPr>
        <w:pStyle w:val="NoSpacing"/>
      </w:pPr>
    </w:p>
    <w:p w14:paraId="0B8BBA84" w14:textId="414EDDC6" w:rsidR="004B1441" w:rsidRPr="00BB3634" w:rsidRDefault="004B1441" w:rsidP="000B18E5">
      <w:pPr>
        <w:pStyle w:val="NoSpacing"/>
      </w:pPr>
      <w:r w:rsidRPr="00BB3634">
        <w:t>Where police seek to conduct a night search, s. 488 of the </w:t>
      </w:r>
      <w:r w:rsidRPr="00BB3634">
        <w:rPr>
          <w:i/>
        </w:rPr>
        <w:t>Criminal Code</w:t>
      </w:r>
      <w:r w:rsidRPr="00BB3634">
        <w:t> provides that the ITO is to include reasonable grounds for the search to be executed by night. A night search is only meant to be invoked exceptionally.</w:t>
      </w:r>
    </w:p>
    <w:p w14:paraId="557D41B7" w14:textId="77777777" w:rsidR="004B1441" w:rsidRPr="00BB3634" w:rsidRDefault="004B1441" w:rsidP="000B18E5">
      <w:pPr>
        <w:pStyle w:val="NoSpacing"/>
      </w:pPr>
    </w:p>
    <w:p w14:paraId="7DC1B27F" w14:textId="39BF9ABA" w:rsidR="004B1441" w:rsidRPr="00BB3634" w:rsidRDefault="004B1441" w:rsidP="000B18E5">
      <w:pPr>
        <w:pStyle w:val="NoSpacing"/>
      </w:pPr>
      <w:r w:rsidRPr="00BB3634">
        <w:t xml:space="preserve">In </w:t>
      </w:r>
      <w:r w:rsidRPr="00BB3634">
        <w:rPr>
          <w:i/>
        </w:rPr>
        <w:t xml:space="preserve">Lowe, </w:t>
      </w:r>
      <w:r w:rsidRPr="00BB3634">
        <w:t xml:space="preserve">the Court of Appeal upheld the night entry that the police successfully requested in an ITO on the basis of an “imminence of a threat to public safety” arising from an alleged firearm in the residence: </w:t>
      </w:r>
      <w:r w:rsidRPr="00BB3634">
        <w:rPr>
          <w:i/>
        </w:rPr>
        <w:t xml:space="preserve">R v Lowe, </w:t>
      </w:r>
      <w:hyperlink r:id="rId140" w:history="1">
        <w:r w:rsidRPr="00BB3634">
          <w:rPr>
            <w:rStyle w:val="Hyperlink"/>
          </w:rPr>
          <w:t>2018 ONCA 110</w:t>
        </w:r>
      </w:hyperlink>
      <w:r w:rsidRPr="00BB3634">
        <w:t xml:space="preserve"> at paras 64-67</w:t>
      </w:r>
    </w:p>
    <w:p w14:paraId="0AE9A9A7" w14:textId="77777777" w:rsidR="004B1441" w:rsidRPr="00BB3634" w:rsidRDefault="004B1441" w:rsidP="00BB3634">
      <w:pPr>
        <w:spacing w:line="276" w:lineRule="auto"/>
        <w:rPr>
          <w:rFonts w:ascii="Arial" w:hAnsi="Arial" w:cs="Arial"/>
        </w:rPr>
      </w:pPr>
    </w:p>
    <w:p w14:paraId="4FD986E6" w14:textId="77777777" w:rsidR="004B1441" w:rsidRPr="00BB3634" w:rsidRDefault="004B1441" w:rsidP="00BB3634">
      <w:pPr>
        <w:spacing w:line="276" w:lineRule="auto"/>
        <w:rPr>
          <w:rFonts w:ascii="Arial" w:hAnsi="Arial" w:cs="Arial"/>
        </w:rPr>
      </w:pPr>
    </w:p>
    <w:p w14:paraId="370EA288" w14:textId="7E209CD7" w:rsidR="00C73288" w:rsidRPr="00BB3634" w:rsidRDefault="00BF14D7" w:rsidP="007A6720">
      <w:pPr>
        <w:pStyle w:val="Heading3"/>
        <w:numPr>
          <w:ilvl w:val="0"/>
          <w:numId w:val="14"/>
        </w:numPr>
      </w:pPr>
      <w:bookmarkStart w:id="45" w:name="_Toc94360131"/>
      <w:r w:rsidRPr="00BB3634">
        <w:t>​</w:t>
      </w:r>
      <w:bookmarkStart w:id="46" w:name="_Toc375956060"/>
      <w:r w:rsidR="00C73288" w:rsidRPr="00BB3634">
        <w:t xml:space="preserve"> Confidential Informants</w:t>
      </w:r>
      <w:bookmarkEnd w:id="45"/>
      <w:bookmarkEnd w:id="46"/>
    </w:p>
    <w:p w14:paraId="60AA7B10" w14:textId="77777777" w:rsidR="009E6FF5" w:rsidRPr="00BB3634" w:rsidRDefault="009E6FF5" w:rsidP="00BB3634">
      <w:pPr>
        <w:spacing w:line="276" w:lineRule="auto"/>
        <w:rPr>
          <w:rFonts w:ascii="Arial" w:hAnsi="Arial" w:cs="Arial"/>
        </w:rPr>
      </w:pPr>
    </w:p>
    <w:p w14:paraId="38C5CB38" w14:textId="7D43869B" w:rsidR="00C73288" w:rsidRPr="00BB3634" w:rsidRDefault="00C73288" w:rsidP="00BB3634">
      <w:pPr>
        <w:pStyle w:val="Heading4"/>
        <w:numPr>
          <w:ilvl w:val="0"/>
          <w:numId w:val="24"/>
        </w:numPr>
        <w:spacing w:line="276" w:lineRule="auto"/>
        <w:rPr>
          <w:rFonts w:cs="Arial"/>
          <w:sz w:val="24"/>
          <w:szCs w:val="24"/>
        </w:rPr>
      </w:pPr>
      <w:bookmarkStart w:id="47" w:name="_Toc375956061"/>
      <w:r w:rsidRPr="00BB3634">
        <w:rPr>
          <w:rFonts w:cs="Arial"/>
          <w:sz w:val="24"/>
          <w:szCs w:val="24"/>
        </w:rPr>
        <w:t>General Principles</w:t>
      </w:r>
      <w:bookmarkEnd w:id="47"/>
    </w:p>
    <w:p w14:paraId="1711ED27" w14:textId="77777777" w:rsidR="00C73288" w:rsidRPr="00BB3634" w:rsidRDefault="00C73288" w:rsidP="000B18E5">
      <w:pPr>
        <w:pStyle w:val="NoSpacing"/>
      </w:pPr>
      <w:r w:rsidRPr="00BB3634">
        <w:t>In circumstances where confidential informant information is at issue, the factors apply. One must weigh whether the informant was credible, whether the information predicting the commission of a criminal offence was compelling, and whether the information was corroborated by police investigation. The totality of the circumstances must meet the standard of reasonableness: </w:t>
      </w:r>
      <w:r w:rsidRPr="00BB3634">
        <w:rPr>
          <w:i/>
        </w:rPr>
        <w:t>R v Dhillion, </w:t>
      </w:r>
      <w:hyperlink r:id="rId141" w:tgtFrame="_blank" w:history="1">
        <w:r w:rsidRPr="00BB3634">
          <w:rPr>
            <w:rStyle w:val="Hyperlink"/>
            <w:bCs w:val="0"/>
          </w:rPr>
          <w:t>2016 ONCA 308</w:t>
        </w:r>
      </w:hyperlink>
      <w:r w:rsidRPr="00BB3634">
        <w:t> at para 30</w:t>
      </w:r>
    </w:p>
    <w:p w14:paraId="1B2BB602" w14:textId="0606F361" w:rsidR="001101C5" w:rsidRPr="00BB3634" w:rsidRDefault="00C73288" w:rsidP="00BB3634">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BB3634">
        <w:rPr>
          <w:rStyle w:val="wixguard"/>
          <w:rFonts w:ascii="Arial" w:hAnsi="Arial" w:cs="Arial"/>
          <w:sz w:val="24"/>
          <w:szCs w:val="24"/>
          <w:bdr w:val="none" w:sz="0" w:space="0" w:color="auto" w:frame="1"/>
        </w:rPr>
        <w:t>​</w:t>
      </w:r>
    </w:p>
    <w:p w14:paraId="36D57C3A" w14:textId="6A2D2D45" w:rsidR="00F74812" w:rsidRPr="00BB3634" w:rsidRDefault="00F74812" w:rsidP="000B18E5">
      <w:pPr>
        <w:pStyle w:val="NoSpacing"/>
      </w:pPr>
      <w:r w:rsidRPr="00BB3634">
        <w:t>Weakness in one of the </w:t>
      </w:r>
      <w:r w:rsidRPr="00BB3634">
        <w:rPr>
          <w:i/>
        </w:rPr>
        <w:t>Debot </w:t>
      </w:r>
      <w:r w:rsidRPr="00BB3634">
        <w:t xml:space="preserve">criteria can be compensated for by strengths in the other areas: </w:t>
      </w:r>
      <w:r w:rsidRPr="00BB3634">
        <w:rPr>
          <w:i/>
        </w:rPr>
        <w:t xml:space="preserve">R v Herta, </w:t>
      </w:r>
      <w:hyperlink r:id="rId142" w:history="1">
        <w:r w:rsidRPr="00BB3634">
          <w:rPr>
            <w:rStyle w:val="Hyperlink"/>
          </w:rPr>
          <w:t>2018 ONCA 927</w:t>
        </w:r>
      </w:hyperlink>
      <w:r w:rsidRPr="00BB3634">
        <w:t>, at para</w:t>
      </w:r>
      <w:r w:rsidR="00ED5636" w:rsidRPr="00BB3634">
        <w:t xml:space="preserve"> 34</w:t>
      </w:r>
    </w:p>
    <w:p w14:paraId="622EA9AC" w14:textId="77777777" w:rsidR="005956AC" w:rsidRPr="00BB3634" w:rsidRDefault="005956AC" w:rsidP="000B18E5">
      <w:pPr>
        <w:pStyle w:val="NoSpacing"/>
      </w:pPr>
    </w:p>
    <w:p w14:paraId="4E563AD0" w14:textId="77777777" w:rsidR="00F74812" w:rsidRPr="00BB3634" w:rsidRDefault="00F74812" w:rsidP="00BB3634">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4DCDE21A" w14:textId="53335CCB" w:rsidR="00C73288" w:rsidRPr="00BB3634" w:rsidRDefault="00C73288" w:rsidP="00BB3634">
      <w:pPr>
        <w:pStyle w:val="Heading4"/>
        <w:spacing w:line="276" w:lineRule="auto"/>
        <w:rPr>
          <w:rFonts w:cs="Arial"/>
          <w:sz w:val="24"/>
          <w:szCs w:val="24"/>
        </w:rPr>
      </w:pPr>
      <w:bookmarkStart w:id="48" w:name="_Toc375956062"/>
      <w:r w:rsidRPr="00BB3634">
        <w:rPr>
          <w:rFonts w:cs="Arial"/>
          <w:sz w:val="24"/>
          <w:szCs w:val="24"/>
        </w:rPr>
        <w:t>Debot Factor #1: Credibility</w:t>
      </w:r>
      <w:bookmarkEnd w:id="48"/>
    </w:p>
    <w:p w14:paraId="6D59D75F" w14:textId="77777777" w:rsidR="00445A80" w:rsidRPr="00BB3634" w:rsidRDefault="00445A80" w:rsidP="00BB3634">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p>
    <w:p w14:paraId="6E67EF9C" w14:textId="77777777" w:rsidR="00C73288" w:rsidRPr="00BB3634" w:rsidRDefault="00C73288" w:rsidP="00BB3634">
      <w:pPr>
        <w:pStyle w:val="font7"/>
        <w:spacing w:before="0" w:beforeAutospacing="0" w:after="0" w:afterAutospacing="0" w:line="276" w:lineRule="auto"/>
        <w:jc w:val="both"/>
        <w:textAlignment w:val="baseline"/>
        <w:rPr>
          <w:rFonts w:ascii="Arial" w:hAnsi="Arial" w:cs="Arial"/>
          <w:sz w:val="24"/>
          <w:szCs w:val="24"/>
        </w:rPr>
      </w:pPr>
      <w:r w:rsidRPr="00BB3634">
        <w:rPr>
          <w:rFonts w:ascii="Arial" w:hAnsi="Arial" w:cs="Arial"/>
          <w:bCs/>
          <w:sz w:val="24"/>
          <w:szCs w:val="24"/>
          <w:bdr w:val="none" w:sz="0" w:space="0" w:color="auto" w:frame="1"/>
        </w:rPr>
        <w:t>Factors tending to show that the credibility of the informant(s) is weak:</w:t>
      </w:r>
    </w:p>
    <w:p w14:paraId="246030A7" w14:textId="77777777" w:rsidR="00C73288" w:rsidRPr="00BB3634" w:rsidRDefault="00C73288" w:rsidP="00BB3634">
      <w:pPr>
        <w:pStyle w:val="font7"/>
        <w:numPr>
          <w:ilvl w:val="0"/>
          <w:numId w:val="11"/>
        </w:numPr>
        <w:spacing w:before="0" w:beforeAutospacing="0" w:after="0" w:afterAutospacing="0" w:line="276" w:lineRule="auto"/>
        <w:ind w:left="540"/>
        <w:jc w:val="both"/>
        <w:textAlignment w:val="baseline"/>
        <w:rPr>
          <w:rFonts w:ascii="Arial" w:hAnsi="Arial" w:cs="Arial"/>
          <w:sz w:val="24"/>
          <w:szCs w:val="24"/>
        </w:rPr>
      </w:pPr>
      <w:r w:rsidRPr="00BB3634">
        <w:rPr>
          <w:rFonts w:ascii="Arial" w:hAnsi="Arial" w:cs="Arial"/>
          <w:bCs/>
          <w:sz w:val="24"/>
          <w:szCs w:val="24"/>
          <w:bdr w:val="none" w:sz="0" w:space="0" w:color="auto" w:frame="1"/>
        </w:rPr>
        <w:t>Where the CI is untested.</w:t>
      </w:r>
    </w:p>
    <w:p w14:paraId="19374F9C" w14:textId="77777777" w:rsidR="00C73288" w:rsidRPr="00BB3634" w:rsidRDefault="00C73288" w:rsidP="00BB3634">
      <w:pPr>
        <w:pStyle w:val="font7"/>
        <w:numPr>
          <w:ilvl w:val="0"/>
          <w:numId w:val="11"/>
        </w:numPr>
        <w:spacing w:before="0" w:beforeAutospacing="0" w:after="0" w:afterAutospacing="0" w:line="276" w:lineRule="auto"/>
        <w:ind w:left="540"/>
        <w:jc w:val="both"/>
        <w:textAlignment w:val="baseline"/>
        <w:rPr>
          <w:rFonts w:ascii="Arial" w:hAnsi="Arial" w:cs="Arial"/>
          <w:sz w:val="24"/>
          <w:szCs w:val="24"/>
        </w:rPr>
      </w:pPr>
      <w:r w:rsidRPr="00BB3634">
        <w:rPr>
          <w:rFonts w:ascii="Arial" w:hAnsi="Arial" w:cs="Arial"/>
          <w:bCs/>
          <w:sz w:val="24"/>
          <w:szCs w:val="24"/>
          <w:bdr w:val="none" w:sz="0" w:space="0" w:color="auto" w:frame="1"/>
        </w:rPr>
        <w:t>Where the CI is said to be reliable and accurate, but no support is given for this assessment.</w:t>
      </w:r>
    </w:p>
    <w:p w14:paraId="6AF35190" w14:textId="6882EAAF" w:rsidR="00BB6D33" w:rsidRPr="00BB3634" w:rsidRDefault="00C73288" w:rsidP="00BB3634">
      <w:pPr>
        <w:pStyle w:val="font7"/>
        <w:numPr>
          <w:ilvl w:val="0"/>
          <w:numId w:val="11"/>
        </w:numPr>
        <w:spacing w:before="0" w:beforeAutospacing="0" w:after="0" w:afterAutospacing="0" w:line="276" w:lineRule="auto"/>
        <w:ind w:left="540"/>
        <w:jc w:val="both"/>
        <w:textAlignment w:val="baseline"/>
        <w:rPr>
          <w:rFonts w:ascii="Arial" w:hAnsi="Arial" w:cs="Arial"/>
          <w:sz w:val="24"/>
          <w:szCs w:val="24"/>
        </w:rPr>
      </w:pPr>
      <w:r w:rsidRPr="00BB3634">
        <w:rPr>
          <w:rFonts w:ascii="Arial" w:hAnsi="Arial" w:cs="Arial"/>
          <w:bCs/>
          <w:sz w:val="24"/>
          <w:szCs w:val="24"/>
          <w:bdr w:val="none" w:sz="0" w:space="0" w:color="auto" w:frame="1"/>
        </w:rPr>
        <w:lastRenderedPageBreak/>
        <w:t>The lack of information about whether the CI has a criminal record - especially when s/he is described as being deeply entrenched in the criminal sub-culture: </w:t>
      </w:r>
      <w:r w:rsidR="00BB6D33" w:rsidRPr="00BB3634">
        <w:rPr>
          <w:rFonts w:ascii="Arial" w:hAnsi="Arial" w:cs="Arial"/>
          <w:bCs/>
          <w:i/>
          <w:iCs/>
          <w:sz w:val="24"/>
          <w:szCs w:val="24"/>
          <w:bdr w:val="none" w:sz="0" w:space="0" w:color="auto" w:frame="1"/>
        </w:rPr>
        <w:t>Dhillion, </w:t>
      </w:r>
      <w:r w:rsidR="00BB6D33" w:rsidRPr="00BB3634">
        <w:rPr>
          <w:rFonts w:ascii="Arial" w:hAnsi="Arial" w:cs="Arial"/>
          <w:bCs/>
          <w:sz w:val="24"/>
          <w:szCs w:val="24"/>
          <w:bdr w:val="none" w:sz="0" w:space="0" w:color="auto" w:frame="1"/>
        </w:rPr>
        <w:t>at para 31</w:t>
      </w:r>
    </w:p>
    <w:p w14:paraId="79F5DE72" w14:textId="144CCB69" w:rsidR="00C73288" w:rsidRPr="00BB3634" w:rsidRDefault="00BB6D33" w:rsidP="00BB3634">
      <w:pPr>
        <w:pStyle w:val="font7"/>
        <w:numPr>
          <w:ilvl w:val="0"/>
          <w:numId w:val="11"/>
        </w:numPr>
        <w:spacing w:before="0" w:beforeAutospacing="0" w:after="0" w:afterAutospacing="0" w:line="276" w:lineRule="auto"/>
        <w:ind w:left="540"/>
        <w:jc w:val="both"/>
        <w:textAlignment w:val="baseline"/>
        <w:rPr>
          <w:rFonts w:ascii="Arial" w:hAnsi="Arial" w:cs="Arial"/>
          <w:sz w:val="24"/>
          <w:szCs w:val="24"/>
        </w:rPr>
      </w:pPr>
      <w:r w:rsidRPr="00BB3634">
        <w:rPr>
          <w:rFonts w:ascii="Arial" w:hAnsi="Arial" w:cs="Arial"/>
          <w:bCs/>
          <w:sz w:val="24"/>
          <w:szCs w:val="24"/>
          <w:bdr w:val="none" w:sz="0" w:space="0" w:color="auto" w:frame="1"/>
        </w:rPr>
        <w:t>The lack of information about the duration of the relationship between the CI and the handler</w:t>
      </w:r>
    </w:p>
    <w:p w14:paraId="01722D9F" w14:textId="30EB8E12" w:rsidR="00BB6D33" w:rsidRPr="00BB3634" w:rsidRDefault="002345C9" w:rsidP="00BB3634">
      <w:pPr>
        <w:pStyle w:val="font7"/>
        <w:numPr>
          <w:ilvl w:val="0"/>
          <w:numId w:val="11"/>
        </w:numPr>
        <w:spacing w:before="0" w:beforeAutospacing="0" w:after="0" w:afterAutospacing="0" w:line="276" w:lineRule="auto"/>
        <w:ind w:left="540"/>
        <w:jc w:val="both"/>
        <w:textAlignment w:val="baseline"/>
        <w:rPr>
          <w:rFonts w:ascii="Arial" w:hAnsi="Arial" w:cs="Arial"/>
          <w:sz w:val="24"/>
          <w:szCs w:val="24"/>
        </w:rPr>
      </w:pPr>
      <w:r w:rsidRPr="00BB3634">
        <w:rPr>
          <w:rFonts w:ascii="Arial" w:hAnsi="Arial" w:cs="Arial"/>
          <w:bCs/>
          <w:sz w:val="24"/>
          <w:szCs w:val="24"/>
          <w:bdr w:val="none" w:sz="0" w:space="0" w:color="auto" w:frame="1"/>
        </w:rPr>
        <w:t>The lack of information about the past reliability of the CI’s information</w:t>
      </w:r>
    </w:p>
    <w:p w14:paraId="57B62393" w14:textId="4C58ADBC" w:rsidR="002345C9" w:rsidRPr="00BB3634" w:rsidRDefault="002345C9" w:rsidP="00BB3634">
      <w:pPr>
        <w:pStyle w:val="font7"/>
        <w:numPr>
          <w:ilvl w:val="0"/>
          <w:numId w:val="11"/>
        </w:numPr>
        <w:spacing w:before="0" w:beforeAutospacing="0" w:after="0" w:afterAutospacing="0" w:line="276" w:lineRule="auto"/>
        <w:ind w:left="540"/>
        <w:jc w:val="both"/>
        <w:textAlignment w:val="baseline"/>
        <w:rPr>
          <w:rFonts w:ascii="Arial" w:hAnsi="Arial" w:cs="Arial"/>
          <w:sz w:val="24"/>
          <w:szCs w:val="24"/>
        </w:rPr>
      </w:pPr>
      <w:r w:rsidRPr="00BB3634">
        <w:rPr>
          <w:rFonts w:ascii="Arial" w:hAnsi="Arial" w:cs="Arial"/>
          <w:bCs/>
          <w:sz w:val="24"/>
          <w:szCs w:val="24"/>
          <w:bdr w:val="none" w:sz="0" w:space="0" w:color="auto" w:frame="1"/>
        </w:rPr>
        <w:t xml:space="preserve">The lack of information about the CI’s motivation to give information: </w:t>
      </w:r>
      <w:r w:rsidRPr="00BB3634">
        <w:rPr>
          <w:rFonts w:ascii="Arial" w:hAnsi="Arial" w:cs="Arial"/>
          <w:bCs/>
          <w:i/>
          <w:sz w:val="24"/>
          <w:szCs w:val="24"/>
          <w:bdr w:val="none" w:sz="0" w:space="0" w:color="auto" w:frame="1"/>
        </w:rPr>
        <w:t xml:space="preserve">R v Herta, </w:t>
      </w:r>
      <w:hyperlink r:id="rId143" w:history="1">
        <w:r w:rsidRPr="00BB3634">
          <w:rPr>
            <w:rStyle w:val="Hyperlink"/>
            <w:rFonts w:ascii="Arial" w:hAnsi="Arial" w:cs="Arial"/>
            <w:bCs/>
            <w:sz w:val="24"/>
            <w:szCs w:val="24"/>
            <w:bdr w:val="none" w:sz="0" w:space="0" w:color="auto" w:frame="1"/>
          </w:rPr>
          <w:t>2018 ONCA 927</w:t>
        </w:r>
      </w:hyperlink>
      <w:r w:rsidRPr="00BB3634">
        <w:rPr>
          <w:rFonts w:ascii="Arial" w:hAnsi="Arial" w:cs="Arial"/>
          <w:bCs/>
          <w:sz w:val="24"/>
          <w:szCs w:val="24"/>
          <w:bdr w:val="none" w:sz="0" w:space="0" w:color="auto" w:frame="1"/>
        </w:rPr>
        <w:t>, at para 32</w:t>
      </w:r>
    </w:p>
    <w:p w14:paraId="6ADACE18" w14:textId="77777777" w:rsidR="00BB6D33" w:rsidRPr="00BB3634" w:rsidRDefault="00BB6D33" w:rsidP="00BB3634">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p>
    <w:p w14:paraId="6863C641" w14:textId="0849EDD1" w:rsidR="00C73288" w:rsidRPr="00BB3634" w:rsidRDefault="00C73288" w:rsidP="00BB3634">
      <w:pPr>
        <w:pStyle w:val="font7"/>
        <w:spacing w:before="0" w:beforeAutospacing="0" w:after="0" w:afterAutospacing="0" w:line="276" w:lineRule="auto"/>
        <w:jc w:val="both"/>
        <w:textAlignment w:val="baseline"/>
        <w:rPr>
          <w:rFonts w:ascii="Arial" w:hAnsi="Arial" w:cs="Arial"/>
          <w:sz w:val="24"/>
          <w:szCs w:val="24"/>
        </w:rPr>
      </w:pPr>
      <w:r w:rsidRPr="00BB3634">
        <w:rPr>
          <w:rFonts w:ascii="Arial" w:hAnsi="Arial" w:cs="Arial"/>
          <w:bCs/>
          <w:sz w:val="24"/>
          <w:szCs w:val="24"/>
          <w:bdr w:val="none" w:sz="0" w:space="0" w:color="auto" w:frame="1"/>
        </w:rPr>
        <w:t>Factors tending to enhance credibility</w:t>
      </w:r>
      <w:r w:rsidR="00BB6D33" w:rsidRPr="00BB3634">
        <w:rPr>
          <w:rFonts w:ascii="Arial" w:hAnsi="Arial" w:cs="Arial"/>
          <w:bCs/>
          <w:sz w:val="24"/>
          <w:szCs w:val="24"/>
          <w:bdr w:val="none" w:sz="0" w:space="0" w:color="auto" w:frame="1"/>
        </w:rPr>
        <w:t>:</w:t>
      </w:r>
    </w:p>
    <w:p w14:paraId="56B99BC8" w14:textId="77777777" w:rsidR="00C73288" w:rsidRPr="00BB3634" w:rsidRDefault="00C73288" w:rsidP="00BB3634">
      <w:pPr>
        <w:pStyle w:val="font7"/>
        <w:numPr>
          <w:ilvl w:val="0"/>
          <w:numId w:val="11"/>
        </w:numPr>
        <w:spacing w:before="0" w:beforeAutospacing="0" w:after="0" w:afterAutospacing="0" w:line="276" w:lineRule="auto"/>
        <w:ind w:left="540"/>
        <w:jc w:val="both"/>
        <w:textAlignment w:val="baseline"/>
        <w:rPr>
          <w:rFonts w:ascii="Arial" w:hAnsi="Arial" w:cs="Arial"/>
          <w:sz w:val="24"/>
          <w:szCs w:val="24"/>
        </w:rPr>
      </w:pPr>
      <w:r w:rsidRPr="00BB3634">
        <w:rPr>
          <w:rFonts w:ascii="Arial" w:hAnsi="Arial" w:cs="Arial"/>
          <w:bCs/>
          <w:sz w:val="24"/>
          <w:szCs w:val="24"/>
          <w:bdr w:val="none" w:sz="0" w:space="0" w:color="auto" w:frame="1"/>
        </w:rPr>
        <w:t>The fact that the police know the informants and they are not anonymous tipsters. </w:t>
      </w:r>
    </w:p>
    <w:p w14:paraId="299A1E46" w14:textId="17351856" w:rsidR="00C73288" w:rsidRPr="00BB3634" w:rsidRDefault="00C73288" w:rsidP="00BB3634">
      <w:pPr>
        <w:pStyle w:val="font7"/>
        <w:numPr>
          <w:ilvl w:val="0"/>
          <w:numId w:val="11"/>
        </w:numPr>
        <w:spacing w:before="0" w:beforeAutospacing="0" w:after="0" w:afterAutospacing="0" w:line="276" w:lineRule="auto"/>
        <w:ind w:left="540"/>
        <w:jc w:val="both"/>
        <w:textAlignment w:val="baseline"/>
        <w:rPr>
          <w:rFonts w:ascii="Arial" w:hAnsi="Arial" w:cs="Arial"/>
          <w:sz w:val="24"/>
          <w:szCs w:val="24"/>
        </w:rPr>
      </w:pPr>
      <w:r w:rsidRPr="00BB3634">
        <w:rPr>
          <w:rFonts w:ascii="Arial" w:hAnsi="Arial" w:cs="Arial"/>
          <w:bCs/>
          <w:sz w:val="24"/>
          <w:szCs w:val="24"/>
          <w:bdr w:val="none" w:sz="0" w:space="0" w:color="auto" w:frame="1"/>
        </w:rPr>
        <w:t>The fact that the informants are informed of the potential criminal consequences if they lied or embellished the information they provided: </w:t>
      </w:r>
      <w:r w:rsidRPr="00BB3634">
        <w:rPr>
          <w:rFonts w:ascii="Arial" w:hAnsi="Arial" w:cs="Arial"/>
          <w:bCs/>
          <w:i/>
          <w:iCs/>
          <w:sz w:val="24"/>
          <w:szCs w:val="24"/>
          <w:bdr w:val="none" w:sz="0" w:space="0" w:color="auto" w:frame="1"/>
        </w:rPr>
        <w:t>Dhillion </w:t>
      </w:r>
      <w:r w:rsidRPr="00BB3634">
        <w:rPr>
          <w:rFonts w:ascii="Arial" w:hAnsi="Arial" w:cs="Arial"/>
          <w:bCs/>
          <w:sz w:val="24"/>
          <w:szCs w:val="24"/>
          <w:bdr w:val="none" w:sz="0" w:space="0" w:color="auto" w:frame="1"/>
        </w:rPr>
        <w:t>at para 32</w:t>
      </w:r>
      <w:r w:rsidR="00BB6D33" w:rsidRPr="00BB3634">
        <w:rPr>
          <w:rFonts w:ascii="Arial" w:hAnsi="Arial" w:cs="Arial"/>
          <w:bCs/>
          <w:sz w:val="24"/>
          <w:szCs w:val="24"/>
          <w:bdr w:val="none" w:sz="0" w:space="0" w:color="auto" w:frame="1"/>
        </w:rPr>
        <w:t xml:space="preserve">; </w:t>
      </w:r>
    </w:p>
    <w:p w14:paraId="18883C5F" w14:textId="77777777" w:rsidR="00C73288" w:rsidRPr="00BB3634" w:rsidRDefault="00C73288" w:rsidP="00BB3634">
      <w:pPr>
        <w:pStyle w:val="font7"/>
        <w:spacing w:before="0" w:beforeAutospacing="0" w:after="0" w:afterAutospacing="0" w:line="276" w:lineRule="auto"/>
        <w:jc w:val="both"/>
        <w:textAlignment w:val="baseline"/>
        <w:rPr>
          <w:rFonts w:ascii="Arial" w:hAnsi="Arial" w:cs="Arial"/>
          <w:sz w:val="24"/>
          <w:szCs w:val="24"/>
        </w:rPr>
      </w:pPr>
      <w:r w:rsidRPr="00BB3634">
        <w:rPr>
          <w:rStyle w:val="wixguard"/>
          <w:rFonts w:ascii="Arial" w:hAnsi="Arial" w:cs="Arial"/>
          <w:bCs/>
          <w:sz w:val="24"/>
          <w:szCs w:val="24"/>
          <w:bdr w:val="none" w:sz="0" w:space="0" w:color="auto" w:frame="1"/>
        </w:rPr>
        <w:t>​</w:t>
      </w:r>
    </w:p>
    <w:p w14:paraId="3D80D34A" w14:textId="5BFC4686" w:rsidR="00C73288" w:rsidRPr="00BB3634" w:rsidRDefault="00C73288" w:rsidP="00BB3634">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r w:rsidRPr="00BB3634">
        <w:rPr>
          <w:rFonts w:ascii="Arial" w:hAnsi="Arial" w:cs="Arial"/>
          <w:bCs/>
          <w:sz w:val="24"/>
          <w:szCs w:val="24"/>
          <w:bdr w:val="none" w:sz="0" w:space="0" w:color="auto" w:frame="1"/>
        </w:rPr>
        <w:t>Where the police rely on an untried informant, “the quality of the information and corroborative evidence may have to be such as to compensate for the inability to assess the credibility of the source": </w:t>
      </w:r>
      <w:r w:rsidRPr="00BB3634">
        <w:rPr>
          <w:rFonts w:ascii="Arial" w:hAnsi="Arial" w:cs="Arial"/>
          <w:bCs/>
          <w:i/>
          <w:iCs/>
          <w:sz w:val="24"/>
          <w:szCs w:val="24"/>
          <w:bdr w:val="none" w:sz="0" w:space="0" w:color="auto" w:frame="1"/>
        </w:rPr>
        <w:t>Dhillion </w:t>
      </w:r>
      <w:r w:rsidRPr="00BB3634">
        <w:rPr>
          <w:rFonts w:ascii="Arial" w:hAnsi="Arial" w:cs="Arial"/>
          <w:bCs/>
          <w:sz w:val="24"/>
          <w:szCs w:val="24"/>
          <w:bdr w:val="none" w:sz="0" w:space="0" w:color="auto" w:frame="1"/>
        </w:rPr>
        <w:t>at para 33 (citation to </w:t>
      </w:r>
      <w:r w:rsidRPr="00BB3634">
        <w:rPr>
          <w:rFonts w:ascii="Arial" w:hAnsi="Arial" w:cs="Arial"/>
          <w:bCs/>
          <w:i/>
          <w:iCs/>
          <w:sz w:val="24"/>
          <w:szCs w:val="24"/>
          <w:bdr w:val="none" w:sz="0" w:space="0" w:color="auto" w:frame="1"/>
        </w:rPr>
        <w:t>Debot</w:t>
      </w:r>
      <w:r w:rsidRPr="00BB3634">
        <w:rPr>
          <w:rFonts w:ascii="Arial" w:hAnsi="Arial" w:cs="Arial"/>
          <w:bCs/>
          <w:sz w:val="24"/>
          <w:szCs w:val="24"/>
          <w:bdr w:val="none" w:sz="0" w:space="0" w:color="auto" w:frame="1"/>
        </w:rPr>
        <w:t>)</w:t>
      </w:r>
      <w:r w:rsidR="002345C9" w:rsidRPr="00BB3634">
        <w:rPr>
          <w:rFonts w:ascii="Arial" w:hAnsi="Arial" w:cs="Arial"/>
          <w:bCs/>
          <w:sz w:val="24"/>
          <w:szCs w:val="24"/>
          <w:bdr w:val="none" w:sz="0" w:space="0" w:color="auto" w:frame="1"/>
        </w:rPr>
        <w:t xml:space="preserve">; </w:t>
      </w:r>
      <w:r w:rsidR="002345C9" w:rsidRPr="00BB3634">
        <w:rPr>
          <w:rFonts w:ascii="Arial" w:hAnsi="Arial" w:cs="Arial"/>
          <w:bCs/>
          <w:i/>
          <w:sz w:val="24"/>
          <w:szCs w:val="24"/>
          <w:bdr w:val="none" w:sz="0" w:space="0" w:color="auto" w:frame="1"/>
        </w:rPr>
        <w:t xml:space="preserve">Herta </w:t>
      </w:r>
      <w:r w:rsidR="002345C9" w:rsidRPr="00BB3634">
        <w:rPr>
          <w:rFonts w:ascii="Arial" w:hAnsi="Arial" w:cs="Arial"/>
          <w:bCs/>
          <w:sz w:val="24"/>
          <w:szCs w:val="24"/>
          <w:bdr w:val="none" w:sz="0" w:space="0" w:color="auto" w:frame="1"/>
        </w:rPr>
        <w:t>at para</w:t>
      </w:r>
      <w:r w:rsidR="005401EE" w:rsidRPr="00BB3634">
        <w:rPr>
          <w:rFonts w:ascii="Arial" w:hAnsi="Arial" w:cs="Arial"/>
          <w:bCs/>
          <w:sz w:val="24"/>
          <w:szCs w:val="24"/>
          <w:bdr w:val="none" w:sz="0" w:space="0" w:color="auto" w:frame="1"/>
        </w:rPr>
        <w:t xml:space="preserve"> 34</w:t>
      </w:r>
      <w:r w:rsidR="00F74812" w:rsidRPr="00BB3634">
        <w:rPr>
          <w:rFonts w:ascii="Arial" w:hAnsi="Arial" w:cs="Arial"/>
          <w:bCs/>
          <w:sz w:val="24"/>
          <w:szCs w:val="24"/>
          <w:bdr w:val="none" w:sz="0" w:space="0" w:color="auto" w:frame="1"/>
        </w:rPr>
        <w:t>, 39</w:t>
      </w:r>
    </w:p>
    <w:p w14:paraId="6912743C" w14:textId="77777777" w:rsidR="009E6FF5" w:rsidRPr="00BB3634" w:rsidRDefault="009E6FF5" w:rsidP="00BB3634">
      <w:pPr>
        <w:pStyle w:val="font7"/>
        <w:spacing w:before="0" w:beforeAutospacing="0" w:after="0" w:afterAutospacing="0" w:line="276" w:lineRule="auto"/>
        <w:jc w:val="both"/>
        <w:textAlignment w:val="baseline"/>
        <w:rPr>
          <w:rFonts w:ascii="Arial" w:hAnsi="Arial" w:cs="Arial"/>
          <w:sz w:val="24"/>
          <w:szCs w:val="24"/>
        </w:rPr>
      </w:pPr>
    </w:p>
    <w:p w14:paraId="54FF9383" w14:textId="4755E4CE" w:rsidR="00C73288" w:rsidRPr="00BB3634" w:rsidRDefault="00C73288" w:rsidP="00BB3634">
      <w:pPr>
        <w:pStyle w:val="font7"/>
        <w:spacing w:before="0" w:beforeAutospacing="0" w:after="0" w:afterAutospacing="0" w:line="276" w:lineRule="auto"/>
        <w:jc w:val="both"/>
        <w:textAlignment w:val="baseline"/>
        <w:rPr>
          <w:rFonts w:ascii="Arial" w:hAnsi="Arial" w:cs="Arial"/>
          <w:sz w:val="24"/>
          <w:szCs w:val="24"/>
        </w:rPr>
      </w:pPr>
      <w:r w:rsidRPr="00BB3634">
        <w:rPr>
          <w:rStyle w:val="wixguard"/>
          <w:rFonts w:ascii="Arial" w:hAnsi="Arial" w:cs="Arial"/>
          <w:b/>
          <w:bCs/>
          <w:sz w:val="24"/>
          <w:szCs w:val="24"/>
          <w:bdr w:val="none" w:sz="0" w:space="0" w:color="auto" w:frame="1"/>
        </w:rPr>
        <w:t>​</w:t>
      </w:r>
    </w:p>
    <w:p w14:paraId="65963701" w14:textId="586FE854" w:rsidR="00C73288" w:rsidRPr="00BB3634" w:rsidRDefault="00C73288" w:rsidP="00BB3634">
      <w:pPr>
        <w:pStyle w:val="Heading4"/>
        <w:spacing w:line="276" w:lineRule="auto"/>
        <w:rPr>
          <w:rFonts w:cs="Arial"/>
          <w:sz w:val="24"/>
          <w:szCs w:val="24"/>
        </w:rPr>
      </w:pPr>
      <w:bookmarkStart w:id="49" w:name="_Toc375956063"/>
      <w:r w:rsidRPr="00BB3634">
        <w:rPr>
          <w:rFonts w:cs="Arial"/>
          <w:sz w:val="24"/>
          <w:szCs w:val="24"/>
        </w:rPr>
        <w:t>Debot Factor #2: Compell</w:t>
      </w:r>
      <w:r w:rsidR="00FE4882" w:rsidRPr="00BB3634">
        <w:rPr>
          <w:rFonts w:cs="Arial"/>
          <w:sz w:val="24"/>
          <w:szCs w:val="24"/>
        </w:rPr>
        <w:t>a</w:t>
      </w:r>
      <w:r w:rsidRPr="00BB3634">
        <w:rPr>
          <w:rFonts w:cs="Arial"/>
          <w:sz w:val="24"/>
          <w:szCs w:val="24"/>
        </w:rPr>
        <w:t>bility</w:t>
      </w:r>
      <w:bookmarkEnd w:id="49"/>
    </w:p>
    <w:p w14:paraId="2AA8547E" w14:textId="77777777" w:rsidR="00445A80" w:rsidRPr="00BB3634" w:rsidRDefault="00445A80" w:rsidP="000B18E5">
      <w:pPr>
        <w:pStyle w:val="NoSpacing"/>
      </w:pPr>
    </w:p>
    <w:p w14:paraId="1201880D" w14:textId="77777777" w:rsidR="006908DB" w:rsidRPr="00BB3634" w:rsidRDefault="00C73288" w:rsidP="000B18E5">
      <w:pPr>
        <w:pStyle w:val="NoSpacing"/>
      </w:pPr>
      <w:r w:rsidRPr="00BB3634">
        <w:t>Factors tending to show tha</w:t>
      </w:r>
      <w:r w:rsidR="006908DB" w:rsidRPr="00BB3634">
        <w:t>t the information is compelling:</w:t>
      </w:r>
      <w:r w:rsidRPr="00BB3634">
        <w:t xml:space="preserve"> </w:t>
      </w:r>
    </w:p>
    <w:p w14:paraId="76CDC6F5" w14:textId="77777777" w:rsidR="006908DB" w:rsidRPr="00BB3634" w:rsidRDefault="00C73288" w:rsidP="000B18E5">
      <w:pPr>
        <w:pStyle w:val="NoSpacing"/>
        <w:numPr>
          <w:ilvl w:val="0"/>
          <w:numId w:val="38"/>
        </w:numPr>
      </w:pPr>
      <w:r w:rsidRPr="00BB3634">
        <w:t>The information is fairly detailed and specific (e.g., it describes various personal characteristics of the respondent, the types of drugs being trafficked, where the transactions occurred, and how they were carried out, as well as the target's precise address).</w:t>
      </w:r>
    </w:p>
    <w:p w14:paraId="2F9A9307" w14:textId="0835A7C6" w:rsidR="00C73288" w:rsidRPr="00BB3634" w:rsidRDefault="00C73288" w:rsidP="000B18E5">
      <w:pPr>
        <w:pStyle w:val="NoSpacing"/>
        <w:numPr>
          <w:ilvl w:val="0"/>
          <w:numId w:val="38"/>
        </w:numPr>
      </w:pPr>
      <w:r w:rsidRPr="00BB3634">
        <w:t>The fact that the CI knew the targ</w:t>
      </w:r>
      <w:r w:rsidR="002A4D0A" w:rsidRPr="00BB3634">
        <w:t>e</w:t>
      </w:r>
      <w:r w:rsidRPr="00BB3634">
        <w:t>t personally (e.g., a</w:t>
      </w:r>
      <w:r w:rsidR="002A4D0A" w:rsidRPr="00BB3634">
        <w:t>s a customer) and therefore had</w:t>
      </w:r>
      <w:r w:rsidRPr="00BB3634">
        <w:t xml:space="preserve"> first-hand knowledge. This relationship helps to alleviate the concern that they were just perpetuating rumours or gossip: </w:t>
      </w:r>
      <w:r w:rsidRPr="00BB3634">
        <w:rPr>
          <w:i/>
        </w:rPr>
        <w:t>Dhillion </w:t>
      </w:r>
      <w:r w:rsidRPr="00BB3634">
        <w:t>at paras 34-35</w:t>
      </w:r>
    </w:p>
    <w:p w14:paraId="7AFD4EF1" w14:textId="77777777" w:rsidR="006908DB" w:rsidRPr="00BB3634" w:rsidRDefault="006908DB" w:rsidP="000B18E5">
      <w:pPr>
        <w:pStyle w:val="NoSpacing"/>
      </w:pPr>
    </w:p>
    <w:p w14:paraId="62CA5EFF" w14:textId="72878EF2" w:rsidR="006908DB" w:rsidRPr="00BB3634" w:rsidRDefault="006908DB" w:rsidP="000B18E5">
      <w:pPr>
        <w:pStyle w:val="NoSpacing"/>
      </w:pPr>
      <w:r w:rsidRPr="00BB3634">
        <w:t xml:space="preserve">Conclusory </w:t>
      </w:r>
      <w:r w:rsidR="00C7276B" w:rsidRPr="00BB3634">
        <w:t>statements that do not provide a basis to assess their veracity and do not disclose the source of the information are not compelling</w:t>
      </w:r>
      <w:r w:rsidR="00714EA4" w:rsidRPr="00BB3634">
        <w:t>:</w:t>
      </w:r>
      <w:r w:rsidR="00A3689D" w:rsidRPr="00BB3634">
        <w:t xml:space="preserve"> </w:t>
      </w:r>
      <w:r w:rsidR="00A3689D" w:rsidRPr="00BB3634">
        <w:rPr>
          <w:i/>
        </w:rPr>
        <w:t xml:space="preserve">R v Herta, </w:t>
      </w:r>
      <w:hyperlink r:id="rId144" w:history="1">
        <w:r w:rsidR="00A3689D" w:rsidRPr="00BB3634">
          <w:rPr>
            <w:rStyle w:val="Hyperlink"/>
          </w:rPr>
          <w:t>2018 ONCA 927</w:t>
        </w:r>
      </w:hyperlink>
      <w:r w:rsidR="00A3689D" w:rsidRPr="00BB3634">
        <w:t>, at para 47</w:t>
      </w:r>
    </w:p>
    <w:p w14:paraId="1EFA7AFA" w14:textId="1D692B91" w:rsidR="00C7276B" w:rsidRDefault="00C7276B" w:rsidP="000B18E5">
      <w:pPr>
        <w:pStyle w:val="NoSpacing"/>
      </w:pPr>
    </w:p>
    <w:p w14:paraId="66B91252" w14:textId="77777777" w:rsidR="00DC5155" w:rsidRPr="00BB3634" w:rsidRDefault="00DC5155" w:rsidP="000B18E5">
      <w:pPr>
        <w:pStyle w:val="NoSpacing"/>
      </w:pPr>
    </w:p>
    <w:p w14:paraId="297E6DCE" w14:textId="385F3B75" w:rsidR="00C73288" w:rsidRPr="00BB3634" w:rsidRDefault="00C73288" w:rsidP="00BB3634">
      <w:pPr>
        <w:pStyle w:val="font8"/>
        <w:spacing w:before="0" w:beforeAutospacing="0" w:after="0" w:afterAutospacing="0" w:line="276" w:lineRule="auto"/>
        <w:textAlignment w:val="baseline"/>
        <w:rPr>
          <w:rFonts w:ascii="Arial" w:hAnsi="Arial" w:cs="Arial"/>
          <w:b/>
          <w:bCs/>
          <w:sz w:val="24"/>
          <w:szCs w:val="24"/>
        </w:rPr>
      </w:pPr>
      <w:r w:rsidRPr="00BB3634">
        <w:rPr>
          <w:rStyle w:val="wixguard"/>
          <w:rFonts w:ascii="Arial" w:hAnsi="Arial" w:cs="Arial"/>
          <w:b/>
          <w:bCs/>
          <w:sz w:val="24"/>
          <w:szCs w:val="24"/>
          <w:bdr w:val="none" w:sz="0" w:space="0" w:color="auto" w:frame="1"/>
        </w:rPr>
        <w:t>​</w:t>
      </w:r>
    </w:p>
    <w:p w14:paraId="3088FFE6" w14:textId="78ED65A5" w:rsidR="00C73288" w:rsidRPr="00BB3634" w:rsidRDefault="00C73288" w:rsidP="00BB3634">
      <w:pPr>
        <w:pStyle w:val="Heading4"/>
        <w:spacing w:line="276" w:lineRule="auto"/>
        <w:rPr>
          <w:rFonts w:cs="Arial"/>
          <w:sz w:val="24"/>
          <w:szCs w:val="24"/>
        </w:rPr>
      </w:pPr>
      <w:bookmarkStart w:id="50" w:name="_Toc375956064"/>
      <w:r w:rsidRPr="00BB3634">
        <w:rPr>
          <w:rFonts w:cs="Arial"/>
          <w:sz w:val="24"/>
          <w:szCs w:val="24"/>
        </w:rPr>
        <w:lastRenderedPageBreak/>
        <w:t>Debot Factor #3: Corroboration</w:t>
      </w:r>
      <w:bookmarkEnd w:id="50"/>
    </w:p>
    <w:p w14:paraId="0BC706BA" w14:textId="77777777" w:rsidR="00445A80" w:rsidRPr="00BB3634" w:rsidRDefault="00445A80" w:rsidP="00BB3634">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p>
    <w:p w14:paraId="12CDE111" w14:textId="77777777" w:rsidR="00C73288" w:rsidRPr="00BB3634" w:rsidRDefault="00C73288" w:rsidP="00BB3634">
      <w:pPr>
        <w:pStyle w:val="font8"/>
        <w:spacing w:before="0" w:beforeAutospacing="0" w:after="0" w:afterAutospacing="0" w:line="276" w:lineRule="auto"/>
        <w:jc w:val="both"/>
        <w:textAlignment w:val="baseline"/>
        <w:rPr>
          <w:rFonts w:ascii="Arial" w:hAnsi="Arial" w:cs="Arial"/>
          <w:bCs/>
          <w:sz w:val="24"/>
          <w:szCs w:val="24"/>
        </w:rPr>
      </w:pPr>
      <w:r w:rsidRPr="00BB3634">
        <w:rPr>
          <w:rFonts w:ascii="Arial" w:hAnsi="Arial" w:cs="Arial"/>
          <w:bCs/>
          <w:sz w:val="24"/>
          <w:szCs w:val="24"/>
          <w:bdr w:val="none" w:sz="0" w:space="0" w:color="auto" w:frame="1"/>
        </w:rPr>
        <w:t>Factors tending to support corroboration of the information:</w:t>
      </w:r>
    </w:p>
    <w:p w14:paraId="7F3FF9BA" w14:textId="77777777" w:rsidR="00C73288" w:rsidRPr="00BB3634" w:rsidRDefault="00C73288" w:rsidP="00BB3634">
      <w:pPr>
        <w:pStyle w:val="font8"/>
        <w:numPr>
          <w:ilvl w:val="0"/>
          <w:numId w:val="12"/>
        </w:numPr>
        <w:spacing w:before="0" w:beforeAutospacing="0" w:after="0" w:afterAutospacing="0" w:line="276" w:lineRule="auto"/>
        <w:ind w:left="540"/>
        <w:jc w:val="both"/>
        <w:textAlignment w:val="baseline"/>
        <w:rPr>
          <w:rFonts w:ascii="Arial" w:hAnsi="Arial" w:cs="Arial"/>
          <w:bCs/>
          <w:sz w:val="24"/>
          <w:szCs w:val="24"/>
        </w:rPr>
      </w:pPr>
      <w:r w:rsidRPr="00BB3634">
        <w:rPr>
          <w:rFonts w:ascii="Arial" w:hAnsi="Arial" w:cs="Arial"/>
          <w:bCs/>
          <w:sz w:val="24"/>
          <w:szCs w:val="24"/>
          <w:bdr w:val="none" w:sz="0" w:space="0" w:color="auto" w:frame="1"/>
        </w:rPr>
        <w:t>The consistency of information from several informants. This is distinguishable from circumstances in which there is only one anonymous or untried informant.</w:t>
      </w:r>
    </w:p>
    <w:p w14:paraId="545C4962" w14:textId="77777777" w:rsidR="00C73288" w:rsidRPr="00BB3634" w:rsidRDefault="00C73288" w:rsidP="00BB3634">
      <w:pPr>
        <w:pStyle w:val="font8"/>
        <w:numPr>
          <w:ilvl w:val="0"/>
          <w:numId w:val="12"/>
        </w:numPr>
        <w:spacing w:before="0" w:beforeAutospacing="0" w:after="0" w:afterAutospacing="0" w:line="276" w:lineRule="auto"/>
        <w:ind w:left="540"/>
        <w:jc w:val="both"/>
        <w:textAlignment w:val="baseline"/>
        <w:rPr>
          <w:rFonts w:ascii="Arial" w:hAnsi="Arial" w:cs="Arial"/>
          <w:bCs/>
          <w:sz w:val="24"/>
          <w:szCs w:val="24"/>
        </w:rPr>
      </w:pPr>
      <w:r w:rsidRPr="00BB3634">
        <w:rPr>
          <w:rFonts w:ascii="Arial" w:hAnsi="Arial" w:cs="Arial"/>
          <w:bCs/>
          <w:sz w:val="24"/>
          <w:szCs w:val="24"/>
          <w:bdr w:val="none" w:sz="0" w:space="0" w:color="auto" w:frame="1"/>
        </w:rPr>
        <w:t>Where police confirm the accuracy of specific information during their investigation (e.g., the target's name, the colour, make, and age of the his vehicle; the target's ethnicity, address, his approximate age, his criminal record, and the criminal activity alleged). </w:t>
      </w:r>
    </w:p>
    <w:p w14:paraId="73781555" w14:textId="77777777" w:rsidR="00C73288" w:rsidRPr="00BB3634" w:rsidRDefault="00C73288" w:rsidP="00BB3634">
      <w:pPr>
        <w:pStyle w:val="font8"/>
        <w:spacing w:before="0" w:beforeAutospacing="0" w:after="0" w:afterAutospacing="0" w:line="276" w:lineRule="auto"/>
        <w:jc w:val="both"/>
        <w:textAlignment w:val="baseline"/>
        <w:rPr>
          <w:rFonts w:ascii="Arial" w:hAnsi="Arial" w:cs="Arial"/>
          <w:bCs/>
          <w:sz w:val="24"/>
          <w:szCs w:val="24"/>
        </w:rPr>
      </w:pPr>
      <w:r w:rsidRPr="00BB3634">
        <w:rPr>
          <w:rStyle w:val="wixguard"/>
          <w:rFonts w:ascii="Arial" w:hAnsi="Arial" w:cs="Arial"/>
          <w:bCs/>
          <w:sz w:val="24"/>
          <w:szCs w:val="24"/>
          <w:bdr w:val="none" w:sz="0" w:space="0" w:color="auto" w:frame="1"/>
        </w:rPr>
        <w:t>​</w:t>
      </w:r>
    </w:p>
    <w:p w14:paraId="60D74AD3" w14:textId="3A369B9A" w:rsidR="00C73288" w:rsidRPr="00BB3634" w:rsidRDefault="00C73288" w:rsidP="00BB3634">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r w:rsidRPr="00BB3634">
        <w:rPr>
          <w:rFonts w:ascii="Arial" w:hAnsi="Arial" w:cs="Arial"/>
          <w:bCs/>
          <w:sz w:val="24"/>
          <w:szCs w:val="24"/>
          <w:bdr w:val="none" w:sz="0" w:space="0" w:color="auto" w:frame="1"/>
        </w:rPr>
        <w:t>Note, there is no need to confirm the very criminality of the information given by the tipster, but there must be more than corroboration of innocent or commonplace conduct when the police are relying on an untested informant. Corroboration must be such so as to remove the possibility of innocent coincidence: </w:t>
      </w:r>
      <w:r w:rsidRPr="00BB3634">
        <w:rPr>
          <w:rFonts w:ascii="Arial" w:hAnsi="Arial" w:cs="Arial"/>
          <w:bCs/>
          <w:i/>
          <w:iCs/>
          <w:sz w:val="24"/>
          <w:szCs w:val="24"/>
          <w:bdr w:val="none" w:sz="0" w:space="0" w:color="auto" w:frame="1"/>
        </w:rPr>
        <w:t>Dhillion </w:t>
      </w:r>
      <w:r w:rsidRPr="00BB3634">
        <w:rPr>
          <w:rFonts w:ascii="Arial" w:hAnsi="Arial" w:cs="Arial"/>
          <w:bCs/>
          <w:sz w:val="24"/>
          <w:szCs w:val="24"/>
          <w:bdr w:val="none" w:sz="0" w:space="0" w:color="auto" w:frame="1"/>
        </w:rPr>
        <w:t>at paras 39-44</w:t>
      </w:r>
      <w:r w:rsidR="005802CF" w:rsidRPr="00BB3634">
        <w:rPr>
          <w:rFonts w:ascii="Arial" w:hAnsi="Arial" w:cs="Arial"/>
          <w:bCs/>
          <w:sz w:val="24"/>
          <w:szCs w:val="24"/>
          <w:bdr w:val="none" w:sz="0" w:space="0" w:color="auto" w:frame="1"/>
        </w:rPr>
        <w:t xml:space="preserve">; </w:t>
      </w:r>
      <w:r w:rsidR="005802CF" w:rsidRPr="00BB3634">
        <w:rPr>
          <w:rFonts w:ascii="Arial" w:hAnsi="Arial" w:cs="Arial"/>
          <w:bCs/>
          <w:i/>
          <w:sz w:val="24"/>
          <w:szCs w:val="24"/>
          <w:bdr w:val="none" w:sz="0" w:space="0" w:color="auto" w:frame="1"/>
        </w:rPr>
        <w:t xml:space="preserve">R v Herta, </w:t>
      </w:r>
      <w:hyperlink r:id="rId145" w:history="1">
        <w:r w:rsidR="005802CF" w:rsidRPr="00BB3634">
          <w:rPr>
            <w:rStyle w:val="Hyperlink"/>
            <w:rFonts w:ascii="Arial" w:hAnsi="Arial" w:cs="Arial"/>
            <w:bCs/>
            <w:sz w:val="24"/>
            <w:szCs w:val="24"/>
            <w:bdr w:val="none" w:sz="0" w:space="0" w:color="auto" w:frame="1"/>
          </w:rPr>
          <w:t>2018 ONCA 927</w:t>
        </w:r>
      </w:hyperlink>
      <w:r w:rsidR="005802CF" w:rsidRPr="00BB3634">
        <w:rPr>
          <w:rFonts w:ascii="Arial" w:hAnsi="Arial" w:cs="Arial"/>
          <w:bCs/>
          <w:sz w:val="24"/>
          <w:szCs w:val="24"/>
          <w:bdr w:val="none" w:sz="0" w:space="0" w:color="auto" w:frame="1"/>
        </w:rPr>
        <w:t>, at para</w:t>
      </w:r>
      <w:r w:rsidR="00F74812" w:rsidRPr="00BB3634">
        <w:rPr>
          <w:rFonts w:ascii="Arial" w:hAnsi="Arial" w:cs="Arial"/>
          <w:bCs/>
          <w:sz w:val="24"/>
          <w:szCs w:val="24"/>
          <w:bdr w:val="none" w:sz="0" w:space="0" w:color="auto" w:frame="1"/>
        </w:rPr>
        <w:t xml:space="preserve"> 38</w:t>
      </w:r>
    </w:p>
    <w:p w14:paraId="25911E2E" w14:textId="77777777" w:rsidR="00ED5636" w:rsidRPr="00BB3634" w:rsidRDefault="00ED5636" w:rsidP="00BB3634">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p>
    <w:p w14:paraId="6F31F155" w14:textId="799A8D4A" w:rsidR="00ED5636" w:rsidRPr="00BB3634" w:rsidRDefault="003659EC" w:rsidP="00BB3634">
      <w:pPr>
        <w:spacing w:before="100" w:beforeAutospacing="1" w:after="100" w:afterAutospacing="1" w:line="276" w:lineRule="auto"/>
        <w:jc w:val="both"/>
        <w:rPr>
          <w:rFonts w:ascii="Arial" w:hAnsi="Arial" w:cs="Arial"/>
          <w:color w:val="000000"/>
        </w:rPr>
      </w:pPr>
      <w:r w:rsidRPr="00BB3634">
        <w:rPr>
          <w:rFonts w:ascii="Arial" w:hAnsi="Arial" w:cs="Arial"/>
          <w:color w:val="000000"/>
        </w:rPr>
        <w:t xml:space="preserve">In </w:t>
      </w:r>
      <w:r w:rsidRPr="00BB3634">
        <w:rPr>
          <w:rFonts w:ascii="Arial" w:hAnsi="Arial" w:cs="Arial"/>
          <w:i/>
          <w:color w:val="000000"/>
        </w:rPr>
        <w:t xml:space="preserve">Herta, </w:t>
      </w:r>
      <w:r w:rsidRPr="00BB3634">
        <w:rPr>
          <w:rFonts w:ascii="Arial" w:hAnsi="Arial" w:cs="Arial"/>
          <w:color w:val="000000"/>
        </w:rPr>
        <w:t xml:space="preserve">the Court of Appeal held that </w:t>
      </w:r>
      <w:r w:rsidR="004119E1" w:rsidRPr="00BB3634">
        <w:rPr>
          <w:rFonts w:ascii="Arial" w:hAnsi="Arial" w:cs="Arial"/>
          <w:color w:val="000000"/>
        </w:rPr>
        <w:t>there was insufficient corroborative evidence to warrant the belief that the target was in possession of the gun. This was in light of the fact that the c</w:t>
      </w:r>
      <w:r w:rsidR="006A68EA" w:rsidRPr="00BB3634">
        <w:rPr>
          <w:rFonts w:ascii="Arial" w:hAnsi="Arial" w:cs="Arial"/>
          <w:color w:val="000000"/>
        </w:rPr>
        <w:t>orroborative facts</w:t>
      </w:r>
      <w:r w:rsidR="004119E1" w:rsidRPr="00BB3634">
        <w:rPr>
          <w:rFonts w:ascii="Arial" w:hAnsi="Arial" w:cs="Arial"/>
          <w:color w:val="000000"/>
        </w:rPr>
        <w:t xml:space="preserve"> related</w:t>
      </w:r>
      <w:r w:rsidR="006A68EA" w:rsidRPr="00BB3634">
        <w:rPr>
          <w:rFonts w:ascii="Arial" w:hAnsi="Arial" w:cs="Arial"/>
          <w:color w:val="000000"/>
        </w:rPr>
        <w:t xml:space="preserve"> to </w:t>
      </w:r>
      <w:r w:rsidR="00ED5636" w:rsidRPr="00BB3634">
        <w:rPr>
          <w:rFonts w:ascii="Arial" w:hAnsi="Arial" w:cs="Arial"/>
          <w:color w:val="000000"/>
        </w:rPr>
        <w:t xml:space="preserve">information that many people would know, such as </w:t>
      </w:r>
      <w:r w:rsidR="006A68EA" w:rsidRPr="00BB3634">
        <w:rPr>
          <w:rFonts w:ascii="Arial" w:hAnsi="Arial" w:cs="Arial"/>
          <w:color w:val="000000"/>
        </w:rPr>
        <w:t>the target’s</w:t>
      </w:r>
      <w:r w:rsidR="00ED5636" w:rsidRPr="00BB3634">
        <w:rPr>
          <w:rFonts w:ascii="Arial" w:hAnsi="Arial" w:cs="Arial"/>
          <w:color w:val="000000"/>
        </w:rPr>
        <w:t xml:space="preserve"> telephone number, the type of car he was drivi</w:t>
      </w:r>
      <w:r w:rsidRPr="00BB3634">
        <w:rPr>
          <w:rFonts w:ascii="Arial" w:hAnsi="Arial" w:cs="Arial"/>
          <w:color w:val="000000"/>
        </w:rPr>
        <w:t>ng and where he was hanging out</w:t>
      </w:r>
      <w:r w:rsidR="004119E1" w:rsidRPr="00BB3634">
        <w:rPr>
          <w:rFonts w:ascii="Arial" w:hAnsi="Arial" w:cs="Arial"/>
          <w:color w:val="000000"/>
        </w:rPr>
        <w:t xml:space="preserve">: </w:t>
      </w:r>
      <w:hyperlink r:id="rId146" w:history="1">
        <w:r w:rsidR="004119E1" w:rsidRPr="00BB3634">
          <w:rPr>
            <w:rStyle w:val="Hyperlink"/>
            <w:rFonts w:ascii="Arial" w:hAnsi="Arial" w:cs="Arial"/>
          </w:rPr>
          <w:t>2018 ONCA 927</w:t>
        </w:r>
      </w:hyperlink>
      <w:r w:rsidR="004119E1" w:rsidRPr="00BB3634">
        <w:rPr>
          <w:rFonts w:ascii="Arial" w:hAnsi="Arial" w:cs="Arial"/>
          <w:color w:val="000000"/>
        </w:rPr>
        <w:t>, at para</w:t>
      </w:r>
      <w:r w:rsidR="00357BBE" w:rsidRPr="00BB3634">
        <w:rPr>
          <w:rFonts w:ascii="Arial" w:hAnsi="Arial" w:cs="Arial"/>
          <w:color w:val="000000"/>
        </w:rPr>
        <w:t xml:space="preserve"> 40</w:t>
      </w:r>
    </w:p>
    <w:p w14:paraId="4B3F80E2" w14:textId="77777777" w:rsidR="00ED5636" w:rsidRPr="00BB3634" w:rsidRDefault="00ED5636" w:rsidP="00BB3634">
      <w:pPr>
        <w:pStyle w:val="font8"/>
        <w:spacing w:before="0" w:beforeAutospacing="0" w:after="0" w:afterAutospacing="0" w:line="276" w:lineRule="auto"/>
        <w:jc w:val="both"/>
        <w:textAlignment w:val="baseline"/>
        <w:rPr>
          <w:rFonts w:ascii="Arial" w:hAnsi="Arial" w:cs="Arial"/>
          <w:bCs/>
          <w:sz w:val="24"/>
          <w:szCs w:val="24"/>
        </w:rPr>
      </w:pPr>
    </w:p>
    <w:p w14:paraId="0CE25A97" w14:textId="552E39F6" w:rsidR="00BF14D7" w:rsidRPr="00BB3634" w:rsidRDefault="00BF14D7" w:rsidP="00BB3634">
      <w:pPr>
        <w:pStyle w:val="font8"/>
        <w:spacing w:before="0" w:beforeAutospacing="0" w:after="0" w:afterAutospacing="0" w:line="276" w:lineRule="auto"/>
        <w:jc w:val="both"/>
        <w:textAlignment w:val="baseline"/>
        <w:rPr>
          <w:rFonts w:ascii="Arial" w:hAnsi="Arial" w:cs="Arial"/>
          <w:bCs/>
          <w:sz w:val="24"/>
          <w:szCs w:val="24"/>
        </w:rPr>
      </w:pPr>
    </w:p>
    <w:p w14:paraId="53B38C54" w14:textId="2A1B6648" w:rsidR="001101C5" w:rsidRPr="00BB3634" w:rsidRDefault="001101C5" w:rsidP="00BB3634">
      <w:pPr>
        <w:pStyle w:val="Heading4"/>
        <w:spacing w:line="276" w:lineRule="auto"/>
        <w:rPr>
          <w:rFonts w:cs="Arial"/>
          <w:sz w:val="24"/>
          <w:szCs w:val="24"/>
        </w:rPr>
      </w:pPr>
      <w:r w:rsidRPr="00BB3634">
        <w:rPr>
          <w:rFonts w:cs="Arial"/>
          <w:sz w:val="24"/>
          <w:szCs w:val="24"/>
        </w:rPr>
        <w:t>Piercing Informer Privilege</w:t>
      </w:r>
    </w:p>
    <w:p w14:paraId="7F5A0654" w14:textId="77777777" w:rsidR="00BF14D7" w:rsidRPr="00BB3634" w:rsidRDefault="00BF14D7" w:rsidP="00BB3634">
      <w:pPr>
        <w:spacing w:line="276" w:lineRule="auto"/>
        <w:jc w:val="both"/>
        <w:textAlignment w:val="baseline"/>
        <w:rPr>
          <w:rFonts w:ascii="Arial" w:hAnsi="Arial" w:cs="Arial"/>
          <w:bCs/>
          <w:bdr w:val="none" w:sz="0" w:space="0" w:color="auto" w:frame="1"/>
        </w:rPr>
      </w:pPr>
      <w:r w:rsidRPr="00BB3634">
        <w:rPr>
          <w:rFonts w:ascii="Arial" w:hAnsi="Arial" w:cs="Arial"/>
          <w:bCs/>
          <w:bdr w:val="none" w:sz="0" w:space="0" w:color="auto" w:frame="1"/>
        </w:rPr>
        <w:t>​</w:t>
      </w:r>
    </w:p>
    <w:p w14:paraId="47DBD49E" w14:textId="3676C889" w:rsidR="001101C5" w:rsidRPr="00BB3634" w:rsidRDefault="001101C5" w:rsidP="000B18E5">
      <w:pPr>
        <w:pStyle w:val="NoSpacing"/>
        <w:rPr>
          <w:i/>
        </w:rPr>
      </w:pPr>
      <w:r w:rsidRPr="00BB3634">
        <w:t> Informer privilege is a fixed rule of law. In order to overcome that privilege, an accused person must persuade a judge that their innocence is at stake unless the privilege is set aside:</w:t>
      </w:r>
      <w:r w:rsidRPr="00BB3634">
        <w:rPr>
          <w:i/>
        </w:rPr>
        <w:t xml:space="preserve"> R v Durham Regional Crime Stoppers Inc.</w:t>
      </w:r>
      <w:r w:rsidRPr="00BB3634">
        <w:t>, 2017 SCC 45 at para 11</w:t>
      </w:r>
    </w:p>
    <w:p w14:paraId="6C1A9B6C" w14:textId="77777777" w:rsidR="001101C5" w:rsidRPr="00BB3634" w:rsidRDefault="001101C5" w:rsidP="000B18E5">
      <w:pPr>
        <w:pStyle w:val="NoSpacing"/>
      </w:pPr>
    </w:p>
    <w:p w14:paraId="782FA3FB" w14:textId="78C79359" w:rsidR="001101C5" w:rsidRDefault="001101C5" w:rsidP="00BB3634">
      <w:pPr>
        <w:spacing w:line="276" w:lineRule="auto"/>
        <w:jc w:val="both"/>
        <w:textAlignment w:val="baseline"/>
        <w:rPr>
          <w:rFonts w:ascii="Arial" w:hAnsi="Arial" w:cs="Arial"/>
        </w:rPr>
      </w:pPr>
    </w:p>
    <w:p w14:paraId="1B6CC900" w14:textId="3767CEA8" w:rsidR="00DC5155" w:rsidRDefault="00DC5155" w:rsidP="00BB3634">
      <w:pPr>
        <w:spacing w:line="276" w:lineRule="auto"/>
        <w:jc w:val="both"/>
        <w:textAlignment w:val="baseline"/>
        <w:rPr>
          <w:rFonts w:ascii="Arial" w:hAnsi="Arial" w:cs="Arial"/>
        </w:rPr>
      </w:pPr>
    </w:p>
    <w:p w14:paraId="246FCBB7" w14:textId="7D740585" w:rsidR="00DC5155" w:rsidRDefault="00DC5155" w:rsidP="00BB3634">
      <w:pPr>
        <w:spacing w:line="276" w:lineRule="auto"/>
        <w:jc w:val="both"/>
        <w:textAlignment w:val="baseline"/>
        <w:rPr>
          <w:rFonts w:ascii="Arial" w:hAnsi="Arial" w:cs="Arial"/>
        </w:rPr>
      </w:pPr>
    </w:p>
    <w:p w14:paraId="6704B241" w14:textId="3A4D4117" w:rsidR="00DC5155" w:rsidRDefault="00DC5155" w:rsidP="00BB3634">
      <w:pPr>
        <w:spacing w:line="276" w:lineRule="auto"/>
        <w:jc w:val="both"/>
        <w:textAlignment w:val="baseline"/>
        <w:rPr>
          <w:rFonts w:ascii="Arial" w:hAnsi="Arial" w:cs="Arial"/>
        </w:rPr>
      </w:pPr>
    </w:p>
    <w:p w14:paraId="40C6E573" w14:textId="678D2F70" w:rsidR="00DC5155" w:rsidRDefault="00DC5155" w:rsidP="00BB3634">
      <w:pPr>
        <w:spacing w:line="276" w:lineRule="auto"/>
        <w:jc w:val="both"/>
        <w:textAlignment w:val="baseline"/>
        <w:rPr>
          <w:rFonts w:ascii="Arial" w:hAnsi="Arial" w:cs="Arial"/>
        </w:rPr>
      </w:pPr>
    </w:p>
    <w:p w14:paraId="2E61BE38" w14:textId="77777777" w:rsidR="00DC5155" w:rsidRPr="00BB3634" w:rsidRDefault="00DC5155" w:rsidP="00BB3634">
      <w:pPr>
        <w:spacing w:line="276" w:lineRule="auto"/>
        <w:jc w:val="both"/>
        <w:textAlignment w:val="baseline"/>
        <w:rPr>
          <w:rFonts w:ascii="Arial" w:hAnsi="Arial" w:cs="Arial"/>
        </w:rPr>
      </w:pPr>
    </w:p>
    <w:p w14:paraId="2DC63950" w14:textId="1D70031B" w:rsidR="00BF14D7" w:rsidRPr="00BB3634" w:rsidRDefault="00BF14D7" w:rsidP="007A6720">
      <w:pPr>
        <w:pStyle w:val="Heading3"/>
        <w:numPr>
          <w:ilvl w:val="0"/>
          <w:numId w:val="14"/>
        </w:numPr>
      </w:pPr>
      <w:bookmarkStart w:id="51" w:name="_Toc94360132"/>
      <w:r w:rsidRPr="00BB3634">
        <w:lastRenderedPageBreak/>
        <w:t>Testing the Evidence at Trial: Cross examination of affiant</w:t>
      </w:r>
      <w:bookmarkEnd w:id="51"/>
    </w:p>
    <w:p w14:paraId="6D33F18E" w14:textId="77777777" w:rsidR="005956AC" w:rsidRPr="00BB3634" w:rsidRDefault="005956AC" w:rsidP="00BB3634">
      <w:pPr>
        <w:spacing w:line="276" w:lineRule="auto"/>
        <w:rPr>
          <w:rFonts w:ascii="Arial" w:hAnsi="Arial" w:cs="Arial"/>
          <w:lang w:val="en-US"/>
        </w:rPr>
      </w:pPr>
    </w:p>
    <w:p w14:paraId="7B105C79" w14:textId="72AABDE1" w:rsidR="00BF14D7" w:rsidRPr="00BB3634" w:rsidRDefault="00BF14D7" w:rsidP="00BB3634">
      <w:pPr>
        <w:pStyle w:val="Heading4"/>
        <w:numPr>
          <w:ilvl w:val="0"/>
          <w:numId w:val="27"/>
        </w:numPr>
        <w:spacing w:line="276" w:lineRule="auto"/>
        <w:rPr>
          <w:rFonts w:cs="Arial"/>
          <w:sz w:val="24"/>
          <w:szCs w:val="24"/>
        </w:rPr>
      </w:pPr>
      <w:r w:rsidRPr="00BB3634">
        <w:rPr>
          <w:rFonts w:cs="Arial"/>
          <w:sz w:val="24"/>
          <w:szCs w:val="24"/>
        </w:rPr>
        <w:t>Standard of Review: </w:t>
      </w:r>
    </w:p>
    <w:p w14:paraId="6D018354" w14:textId="7251418A" w:rsidR="00BF14D7" w:rsidRPr="00BB3634" w:rsidRDefault="00BF14D7" w:rsidP="000B18E5">
      <w:pPr>
        <w:pStyle w:val="NoSpacing"/>
      </w:pPr>
      <w:r w:rsidRPr="00BB3634">
        <w:t>Absent error in law, a failure to consider relevant evidence, a material misapprehension of evidence, or an unreasonable factual finding, the appellate court must defer to the trial judge’s assessment of the effect of the cross-examination on the sustainability of the authorization: R v Hall, </w:t>
      </w:r>
      <w:r w:rsidRPr="00BB3634">
        <w:rPr>
          <w:u w:val="single"/>
        </w:rPr>
        <w:t>2016 ONCA 013</w:t>
      </w:r>
      <w:r w:rsidRPr="00BB3634">
        <w:t>at para 52-53</w:t>
      </w:r>
    </w:p>
    <w:p w14:paraId="526F093F" w14:textId="77777777" w:rsidR="00BF14D7" w:rsidRPr="00BB3634" w:rsidRDefault="00BF14D7" w:rsidP="00BB3634">
      <w:pPr>
        <w:spacing w:line="276" w:lineRule="auto"/>
        <w:jc w:val="both"/>
        <w:textAlignment w:val="baseline"/>
        <w:rPr>
          <w:rFonts w:ascii="Arial" w:hAnsi="Arial" w:cs="Arial"/>
        </w:rPr>
      </w:pPr>
    </w:p>
    <w:p w14:paraId="2B7DDF54" w14:textId="1A000877" w:rsidR="00BF14D7" w:rsidRPr="00BB3634" w:rsidRDefault="00BF14D7" w:rsidP="00BB3634">
      <w:pPr>
        <w:pStyle w:val="Heading4"/>
        <w:spacing w:line="276" w:lineRule="auto"/>
        <w:rPr>
          <w:rFonts w:cs="Arial"/>
          <w:sz w:val="24"/>
          <w:szCs w:val="24"/>
        </w:rPr>
      </w:pPr>
      <w:r w:rsidRPr="00BB3634">
        <w:rPr>
          <w:rFonts w:cs="Arial"/>
          <w:sz w:val="24"/>
          <w:szCs w:val="24"/>
        </w:rPr>
        <w:t>General Principles</w:t>
      </w:r>
    </w:p>
    <w:p w14:paraId="600C0D81" w14:textId="77777777" w:rsidR="00FE4882" w:rsidRPr="00BB3634" w:rsidRDefault="00FE4882" w:rsidP="000B18E5">
      <w:pPr>
        <w:pStyle w:val="NoSpacing"/>
      </w:pPr>
    </w:p>
    <w:p w14:paraId="16ED6FC3" w14:textId="5830B7E7" w:rsidR="00BF14D7" w:rsidRPr="00BB3634" w:rsidRDefault="00BF14D7" w:rsidP="000B18E5">
      <w:pPr>
        <w:pStyle w:val="NoSpacing"/>
      </w:pPr>
      <w:r w:rsidRPr="00BB3634">
        <w:t>The cross-examination of the affiant may be intended to show either that: 1) there were misleading facts or omissions in the affidavit, which should be excised or amplified; OR 2) the informant was not credible or reliable, therefore requiring that all of the information s/he provided must be disregarded: </w:t>
      </w:r>
      <w:r w:rsidRPr="00BB3634">
        <w:rPr>
          <w:i/>
        </w:rPr>
        <w:t>R v Hall</w:t>
      </w:r>
      <w:r w:rsidRPr="00BB3634">
        <w:t>, </w:t>
      </w:r>
      <w:hyperlink r:id="rId147" w:tgtFrame="_blank" w:history="1">
        <w:r w:rsidRPr="00BB3634">
          <w:rPr>
            <w:u w:val="single"/>
          </w:rPr>
          <w:t>2016 ONCA 013</w:t>
        </w:r>
      </w:hyperlink>
      <w:r w:rsidRPr="00BB3634">
        <w:t> at paras 50-51. See example of intentional and grossly negligent police misconduct in drafting afidavit: </w:t>
      </w:r>
      <w:r w:rsidRPr="00BB3634">
        <w:rPr>
          <w:i/>
        </w:rPr>
        <w:t>Hall </w:t>
      </w:r>
      <w:r w:rsidRPr="00BB3634">
        <w:t>at paras 43, 65​</w:t>
      </w:r>
    </w:p>
    <w:p w14:paraId="2DE541F1" w14:textId="77777777" w:rsidR="00BF14D7" w:rsidRPr="00BB3634" w:rsidRDefault="00BF14D7" w:rsidP="00BB3634">
      <w:pPr>
        <w:spacing w:line="276" w:lineRule="auto"/>
        <w:jc w:val="both"/>
        <w:textAlignment w:val="baseline"/>
        <w:rPr>
          <w:rFonts w:ascii="Arial" w:hAnsi="Arial" w:cs="Arial"/>
        </w:rPr>
      </w:pPr>
      <w:r w:rsidRPr="00BB3634">
        <w:rPr>
          <w:rFonts w:ascii="Arial" w:hAnsi="Arial" w:cs="Arial"/>
          <w:bCs/>
          <w:bdr w:val="none" w:sz="0" w:space="0" w:color="auto" w:frame="1"/>
        </w:rPr>
        <w:t>​​</w:t>
      </w:r>
    </w:p>
    <w:p w14:paraId="4F1F7392" w14:textId="77777777" w:rsidR="00BF14D7" w:rsidRPr="00BB3634" w:rsidRDefault="00BF14D7" w:rsidP="000B18E5">
      <w:pPr>
        <w:pStyle w:val="NoSpacing"/>
      </w:pPr>
      <w:r w:rsidRPr="00BB3634">
        <w:t>Cross-examination of the affiant may occur where ​the accused shows that the proposed cross-examination will elicit testimony that tends to discredit the existence of a pre-condition to the issuance of the warrant, as for example, reasonable and probable grounds: </w:t>
      </w:r>
      <w:r w:rsidRPr="00BB3634">
        <w:rPr>
          <w:i/>
        </w:rPr>
        <w:t>Min Mac</w:t>
      </w:r>
      <w:r w:rsidRPr="00BB3634">
        <w:t> at para 27</w:t>
      </w:r>
    </w:p>
    <w:p w14:paraId="4450B747" w14:textId="67B38686" w:rsidR="00BF14D7" w:rsidRPr="00BB3634" w:rsidRDefault="00BF14D7" w:rsidP="00BB3634">
      <w:pPr>
        <w:spacing w:line="276" w:lineRule="auto"/>
        <w:jc w:val="both"/>
        <w:textAlignment w:val="baseline"/>
        <w:rPr>
          <w:rFonts w:ascii="Arial" w:hAnsi="Arial" w:cs="Arial"/>
        </w:rPr>
      </w:pPr>
      <w:r w:rsidRPr="00BB3634">
        <w:rPr>
          <w:rFonts w:ascii="Arial" w:hAnsi="Arial" w:cs="Arial"/>
        </w:rPr>
        <w:t> </w:t>
      </w:r>
    </w:p>
    <w:p w14:paraId="4991CA1C" w14:textId="3FC6D450" w:rsidR="00301639" w:rsidRDefault="00301639" w:rsidP="007A6720">
      <w:pPr>
        <w:pStyle w:val="Heading3"/>
        <w:numPr>
          <w:ilvl w:val="0"/>
          <w:numId w:val="14"/>
        </w:numPr>
      </w:pPr>
      <w:bookmarkStart w:id="52" w:name="_Toc94360133"/>
      <w:r>
        <w:t>Judge-Shopping the Warrant</w:t>
      </w:r>
      <w:bookmarkEnd w:id="52"/>
    </w:p>
    <w:p w14:paraId="49CBE4DE" w14:textId="2E17F064" w:rsidR="00301639" w:rsidRDefault="00301639" w:rsidP="00301639">
      <w:pPr>
        <w:rPr>
          <w:lang w:val="en-US"/>
        </w:rPr>
      </w:pPr>
    </w:p>
    <w:p w14:paraId="5FF61EC0" w14:textId="758744EA" w:rsidR="00301639" w:rsidRPr="00301639" w:rsidRDefault="00301639" w:rsidP="00301639">
      <w:pPr>
        <w:pStyle w:val="NoSpacing"/>
      </w:pPr>
      <w:r>
        <w:t>There is no bright-line rule prohibiting the police from making a second application for a warrant if the first application is rejected. T</w:t>
      </w:r>
      <w:r w:rsidRPr="00301639">
        <w:t xml:space="preserve">he second judge considering whether to grant the search warrant is not sitting in appeal of the first judge’s decision nor in review of that judge’s decision by way of prerogative writ. </w:t>
      </w:r>
      <w:r>
        <w:t>I</w:t>
      </w:r>
      <w:r w:rsidRPr="00301639">
        <w:t>t is a hearing </w:t>
      </w:r>
      <w:r w:rsidRPr="00301639">
        <w:rPr>
          <w:i/>
        </w:rPr>
        <w:t>de novo</w:t>
      </w:r>
      <w:r w:rsidRPr="00301639">
        <w:t xml:space="preserve">, not a review of the decision of the </w:t>
      </w:r>
      <w:r>
        <w:t xml:space="preserve">first </w:t>
      </w:r>
      <w:r w:rsidRPr="00301639">
        <w:t>justice of the peace</w:t>
      </w:r>
      <w:r>
        <w:t xml:space="preserve">. However, an initial denial doess play a role, and should be considered by the second application judge: </w:t>
      </w:r>
      <w:r>
        <w:rPr>
          <w:i/>
          <w:iCs w:val="0"/>
        </w:rPr>
        <w:t xml:space="preserve">R v Bond, </w:t>
      </w:r>
      <w:hyperlink r:id="rId148" w:history="1">
        <w:r w:rsidRPr="00301639">
          <w:rPr>
            <w:rStyle w:val="Hyperlink"/>
          </w:rPr>
          <w:t>2021 ONCA 730</w:t>
        </w:r>
      </w:hyperlink>
      <w:r>
        <w:t>, at paras 28-31</w:t>
      </w:r>
    </w:p>
    <w:p w14:paraId="676DFAB3" w14:textId="77777777" w:rsidR="00301639" w:rsidRPr="00301639" w:rsidRDefault="00301639" w:rsidP="00301639">
      <w:pPr>
        <w:rPr>
          <w:lang w:val="en-US"/>
        </w:rPr>
      </w:pPr>
    </w:p>
    <w:p w14:paraId="352034B8" w14:textId="06BADBE0" w:rsidR="00BF14D7" w:rsidRPr="00BB3634" w:rsidRDefault="00BF14D7" w:rsidP="007A6720">
      <w:pPr>
        <w:pStyle w:val="Heading3"/>
        <w:numPr>
          <w:ilvl w:val="0"/>
          <w:numId w:val="14"/>
        </w:numPr>
      </w:pPr>
      <w:bookmarkStart w:id="53" w:name="_Toc94360134"/>
      <w:r w:rsidRPr="00BB3634">
        <w:t>Testing the Evidence at Trial: Garafoli Applications</w:t>
      </w:r>
      <w:bookmarkEnd w:id="53"/>
    </w:p>
    <w:p w14:paraId="2F934C90" w14:textId="77777777" w:rsidR="00BF14D7" w:rsidRPr="00BB3634" w:rsidRDefault="00BF14D7" w:rsidP="000B18E5">
      <w:pPr>
        <w:pStyle w:val="NoSpacing"/>
      </w:pPr>
      <w:r w:rsidRPr="00BB3634">
        <w:lastRenderedPageBreak/>
        <w:t>Review of principles and procedure to be applied on a Garafoli Application: </w:t>
      </w:r>
      <w:r w:rsidRPr="00BB3634">
        <w:rPr>
          <w:i/>
        </w:rPr>
        <w:t>R v Beauchamp</w:t>
      </w:r>
      <w:r w:rsidRPr="00BB3634">
        <w:t>, </w:t>
      </w:r>
      <w:hyperlink r:id="rId149" w:tgtFrame="_blank" w:history="1">
        <w:r w:rsidRPr="00BB3634">
          <w:rPr>
            <w:u w:val="single"/>
          </w:rPr>
          <w:t>2015 ONCA 260</w:t>
        </w:r>
      </w:hyperlink>
      <w:hyperlink r:id="rId150" w:tgtFrame="_blank" w:history="1">
        <w:r w:rsidRPr="00BB3634">
          <w:t> (where underlying charge was conspiracy)</w:t>
        </w:r>
      </w:hyperlink>
      <w:r w:rsidRPr="00BB3634">
        <w:t>; </w:t>
      </w:r>
      <w:r w:rsidRPr="00BB3634">
        <w:rPr>
          <w:i/>
        </w:rPr>
        <w:t>R v Crevier</w:t>
      </w:r>
      <w:r w:rsidRPr="00BB3634">
        <w:t>, </w:t>
      </w:r>
      <w:hyperlink r:id="rId151" w:tgtFrame="_blank" w:history="1">
        <w:r w:rsidRPr="00BB3634">
          <w:rPr>
            <w:u w:val="single"/>
          </w:rPr>
          <w:t>2015 ONCA 619</w:t>
        </w:r>
      </w:hyperlink>
    </w:p>
    <w:p w14:paraId="40ED025C" w14:textId="77777777" w:rsidR="00BF14D7" w:rsidRPr="00BB3634" w:rsidRDefault="00BF14D7" w:rsidP="00BB3634">
      <w:pPr>
        <w:spacing w:line="276" w:lineRule="auto"/>
        <w:jc w:val="both"/>
        <w:textAlignment w:val="baseline"/>
        <w:rPr>
          <w:rFonts w:ascii="Arial" w:hAnsi="Arial" w:cs="Arial"/>
        </w:rPr>
      </w:pPr>
      <w:r w:rsidRPr="00BB3634">
        <w:rPr>
          <w:rFonts w:ascii="Arial" w:hAnsi="Arial" w:cs="Arial"/>
        </w:rPr>
        <w:t> </w:t>
      </w:r>
    </w:p>
    <w:p w14:paraId="59EE4BDD" w14:textId="1408D42F" w:rsidR="00BF14D7" w:rsidRPr="00BB3634" w:rsidRDefault="00BF14D7" w:rsidP="00BB3634">
      <w:pPr>
        <w:pStyle w:val="Heading4"/>
        <w:numPr>
          <w:ilvl w:val="0"/>
          <w:numId w:val="28"/>
        </w:numPr>
        <w:spacing w:line="276" w:lineRule="auto"/>
        <w:rPr>
          <w:rFonts w:cs="Arial"/>
          <w:sz w:val="24"/>
          <w:szCs w:val="24"/>
        </w:rPr>
      </w:pPr>
      <w:r w:rsidRPr="00BB3634">
        <w:rPr>
          <w:rFonts w:cs="Arial"/>
          <w:sz w:val="24"/>
          <w:szCs w:val="24"/>
        </w:rPr>
        <w:t>The Test</w:t>
      </w:r>
    </w:p>
    <w:p w14:paraId="36BA94C2" w14:textId="77777777" w:rsidR="009E6FF5" w:rsidRPr="00BB3634" w:rsidRDefault="009E6FF5" w:rsidP="000B18E5">
      <w:pPr>
        <w:pStyle w:val="NoSpacing"/>
      </w:pPr>
    </w:p>
    <w:p w14:paraId="46212C08" w14:textId="01A312A4" w:rsidR="00045EC6" w:rsidRPr="00BB3634" w:rsidRDefault="00045EC6" w:rsidP="000B18E5">
      <w:pPr>
        <w:pStyle w:val="NoSpacing"/>
      </w:pPr>
    </w:p>
    <w:p w14:paraId="1A1B0769" w14:textId="6CB8B761" w:rsidR="00045EC6" w:rsidRPr="00BB3634" w:rsidRDefault="00045EC6" w:rsidP="000B18E5">
      <w:pPr>
        <w:pStyle w:val="NoSpacing"/>
      </w:pPr>
      <w:r w:rsidRPr="00BB3634">
        <w:t>The task for the reviewing judge is to determine whether on the supportive affidavit, as amplified by evidence adduced on the review, there was sufficient reliable evidence that might reasonably be believed on the basis of which the authorizing judge could have concluded that the probable cause requirement had been met: </w:t>
      </w:r>
      <w:r w:rsidRPr="00BB3634">
        <w:rPr>
          <w:i/>
        </w:rPr>
        <w:t>R v Min Mac, </w:t>
      </w:r>
      <w:hyperlink r:id="rId152" w:tgtFrame="_blank" w:history="1">
        <w:r w:rsidRPr="00BB3634">
          <w:rPr>
            <w:u w:val="single"/>
          </w:rPr>
          <w:t>2016 ONCA 379</w:t>
        </w:r>
      </w:hyperlink>
      <w:r w:rsidRPr="00BB3634">
        <w:t xml:space="preserve"> at para 29; </w:t>
      </w:r>
      <w:r w:rsidRPr="00BB3634">
        <w:rPr>
          <w:i/>
        </w:rPr>
        <w:t>R v Nero, </w:t>
      </w:r>
      <w:hyperlink r:id="rId153" w:tgtFrame="_blank" w:history="1">
        <w:r w:rsidRPr="00BB3634">
          <w:rPr>
            <w:u w:val="single"/>
          </w:rPr>
          <w:t>2016 ONCA 160</w:t>
        </w:r>
      </w:hyperlink>
      <w:r w:rsidRPr="00BB3634">
        <w:t> at para 126</w:t>
      </w:r>
    </w:p>
    <w:p w14:paraId="181A7955" w14:textId="4AAD685A" w:rsidR="005956AC" w:rsidRPr="00BB3634" w:rsidRDefault="005956AC" w:rsidP="000B18E5">
      <w:pPr>
        <w:pStyle w:val="NoSpacing"/>
      </w:pPr>
    </w:p>
    <w:p w14:paraId="7989208E" w14:textId="77777777" w:rsidR="005956AC" w:rsidRPr="00BB3634" w:rsidRDefault="005956AC" w:rsidP="000B18E5">
      <w:pPr>
        <w:pStyle w:val="NoSpacing"/>
      </w:pPr>
    </w:p>
    <w:p w14:paraId="7039D0D6" w14:textId="77777777" w:rsidR="00BF14D7" w:rsidRPr="00BB3634" w:rsidRDefault="00BF14D7" w:rsidP="00BB3634">
      <w:pPr>
        <w:pStyle w:val="Heading4"/>
        <w:spacing w:line="276" w:lineRule="auto"/>
        <w:rPr>
          <w:rFonts w:cs="Arial"/>
          <w:sz w:val="24"/>
          <w:szCs w:val="24"/>
        </w:rPr>
      </w:pPr>
      <w:r w:rsidRPr="00BB3634">
        <w:rPr>
          <w:rFonts w:cs="Arial"/>
          <w:sz w:val="24"/>
          <w:szCs w:val="24"/>
        </w:rPr>
        <w:t>The Standard of Review</w:t>
      </w:r>
    </w:p>
    <w:p w14:paraId="750DA5FD" w14:textId="4E69C510" w:rsidR="00BF14D7" w:rsidRPr="00BB3634" w:rsidRDefault="00BF14D7" w:rsidP="000B18E5">
      <w:pPr>
        <w:pStyle w:val="NoSpacing"/>
      </w:pPr>
    </w:p>
    <w:p w14:paraId="27A5CBAE" w14:textId="73C25FF2" w:rsidR="00BF14D7" w:rsidRPr="00BB3634" w:rsidRDefault="00BF14D7" w:rsidP="000B18E5">
      <w:pPr>
        <w:pStyle w:val="NoSpacing"/>
      </w:pPr>
      <w:r w:rsidRPr="00BB3634">
        <w:t>The standard of review on appeal is one of deference to findings of fact made by the motions judge. Absent a demonstrated misapprehension of the evidence, a failure to consider relevant evidence, a consideration of irrelevant evidence, an unreasonable finding or an error of law in the application of the governing principles, the appellate court will not interfere with the decision of the motions judge: </w:t>
      </w:r>
      <w:r w:rsidRPr="00BB3634">
        <w:rPr>
          <w:i/>
        </w:rPr>
        <w:t>Nero </w:t>
      </w:r>
      <w:r w:rsidRPr="00BB3634">
        <w:t>at para 124</w:t>
      </w:r>
    </w:p>
    <w:p w14:paraId="02E7CEC3" w14:textId="11F3CE75" w:rsidR="00045EC6" w:rsidRPr="00BB3634" w:rsidRDefault="00045EC6" w:rsidP="000B18E5">
      <w:pPr>
        <w:pStyle w:val="NoSpacing"/>
      </w:pPr>
    </w:p>
    <w:p w14:paraId="3CAC04C3" w14:textId="3AC38A24" w:rsidR="00045EC6" w:rsidRDefault="00045EC6" w:rsidP="000B18E5">
      <w:pPr>
        <w:pStyle w:val="NoSpacing"/>
      </w:pPr>
      <w:r w:rsidRPr="00BB3634">
        <w:t>The court must also defer to the findings of fact made by the reviewing judge in his or her assessment of the record, as amplified on review, as well as to his or her disposition of the s. 8 Charter challenge: </w:t>
      </w:r>
      <w:r w:rsidRPr="00BB3634">
        <w:rPr>
          <w:i/>
        </w:rPr>
        <w:t>R v Min Mac, </w:t>
      </w:r>
      <w:hyperlink r:id="rId154" w:tgtFrame="_blank" w:history="1">
        <w:r w:rsidRPr="00BB3634">
          <w:rPr>
            <w:u w:val="single"/>
          </w:rPr>
          <w:t>2016 ONCA 379</w:t>
        </w:r>
      </w:hyperlink>
      <w:r w:rsidRPr="00BB3634">
        <w:t> at para 34</w:t>
      </w:r>
    </w:p>
    <w:p w14:paraId="51441A26" w14:textId="2FDADE9E" w:rsidR="00045EC6" w:rsidRPr="00BB3634" w:rsidRDefault="00045EC6" w:rsidP="000B18E5">
      <w:pPr>
        <w:pStyle w:val="NoSpacing"/>
      </w:pPr>
    </w:p>
    <w:p w14:paraId="1E8393ED" w14:textId="77777777" w:rsidR="00BF14D7" w:rsidRPr="00BB3634" w:rsidRDefault="00BF14D7" w:rsidP="00BB3634">
      <w:pPr>
        <w:spacing w:line="276" w:lineRule="auto"/>
        <w:jc w:val="both"/>
        <w:textAlignment w:val="baseline"/>
        <w:rPr>
          <w:rFonts w:ascii="Arial" w:hAnsi="Arial" w:cs="Arial"/>
        </w:rPr>
      </w:pPr>
      <w:r w:rsidRPr="00BB3634">
        <w:rPr>
          <w:rFonts w:ascii="Arial" w:hAnsi="Arial" w:cs="Arial"/>
          <w:b/>
          <w:bCs/>
          <w:bdr w:val="none" w:sz="0" w:space="0" w:color="auto" w:frame="1"/>
        </w:rPr>
        <w:t>​</w:t>
      </w:r>
    </w:p>
    <w:p w14:paraId="6B5E0B49" w14:textId="623590D4" w:rsidR="00BF14D7" w:rsidRPr="00BB3634" w:rsidRDefault="00BF14D7" w:rsidP="00BB3634">
      <w:pPr>
        <w:pStyle w:val="Heading4"/>
        <w:spacing w:line="276" w:lineRule="auto"/>
        <w:rPr>
          <w:rFonts w:cs="Arial"/>
          <w:sz w:val="24"/>
          <w:szCs w:val="24"/>
        </w:rPr>
      </w:pPr>
      <w:r w:rsidRPr="00BB3634">
        <w:rPr>
          <w:rFonts w:cs="Arial"/>
          <w:sz w:val="24"/>
          <w:szCs w:val="24"/>
        </w:rPr>
        <w:t>Excising Information </w:t>
      </w:r>
    </w:p>
    <w:p w14:paraId="11E3DE91" w14:textId="1CB2DBF4" w:rsidR="00BF14D7" w:rsidRPr="00BB3634" w:rsidRDefault="00BF14D7" w:rsidP="000B18E5">
      <w:pPr>
        <w:pStyle w:val="NoSpacing"/>
      </w:pPr>
      <w:r w:rsidRPr="00BB3634">
        <w:t>A reviewing judge has no jurisdiction to excise correct information from an affidavit: </w:t>
      </w:r>
      <w:r w:rsidRPr="00BB3634">
        <w:rPr>
          <w:i/>
        </w:rPr>
        <w:t>R v Mac, </w:t>
      </w:r>
      <w:hyperlink r:id="rId155" w:tgtFrame="_blank" w:history="1">
        <w:r w:rsidRPr="00BB3634">
          <w:rPr>
            <w:u w:val="single"/>
          </w:rPr>
          <w:t>2016 ONCA 379</w:t>
        </w:r>
      </w:hyperlink>
      <w:r w:rsidRPr="00BB3634">
        <w:t> at para 59</w:t>
      </w:r>
    </w:p>
    <w:p w14:paraId="14ACD691" w14:textId="77777777" w:rsidR="005956AC" w:rsidRPr="00BB3634" w:rsidRDefault="005956AC" w:rsidP="000B18E5">
      <w:pPr>
        <w:pStyle w:val="NoSpacing"/>
      </w:pPr>
    </w:p>
    <w:p w14:paraId="6DDE1BA4" w14:textId="77777777" w:rsidR="00BF14D7" w:rsidRPr="00BB3634" w:rsidRDefault="00BF14D7" w:rsidP="00BB3634">
      <w:pPr>
        <w:spacing w:line="276" w:lineRule="auto"/>
        <w:jc w:val="both"/>
        <w:textAlignment w:val="baseline"/>
        <w:rPr>
          <w:rFonts w:ascii="Arial" w:hAnsi="Arial" w:cs="Arial"/>
          <w:b/>
          <w:bCs/>
          <w:bdr w:val="none" w:sz="0" w:space="0" w:color="auto" w:frame="1"/>
        </w:rPr>
      </w:pPr>
      <w:r w:rsidRPr="00BB3634">
        <w:rPr>
          <w:rFonts w:ascii="Arial" w:hAnsi="Arial" w:cs="Arial"/>
          <w:b/>
          <w:bCs/>
          <w:bdr w:val="none" w:sz="0" w:space="0" w:color="auto" w:frame="1"/>
        </w:rPr>
        <w:t>​​</w:t>
      </w:r>
    </w:p>
    <w:p w14:paraId="1D4C2AB7" w14:textId="282F5FED" w:rsidR="003A667D" w:rsidRPr="00BB3634" w:rsidRDefault="003A667D" w:rsidP="00BB3634">
      <w:pPr>
        <w:pStyle w:val="Heading4"/>
        <w:spacing w:line="276" w:lineRule="auto"/>
        <w:rPr>
          <w:rFonts w:cs="Arial"/>
          <w:sz w:val="24"/>
          <w:szCs w:val="24"/>
        </w:rPr>
      </w:pPr>
      <w:r w:rsidRPr="00BB3634">
        <w:rPr>
          <w:rFonts w:cs="Arial"/>
          <w:sz w:val="24"/>
          <w:szCs w:val="24"/>
        </w:rPr>
        <w:t>Appointing Amicus</w:t>
      </w:r>
    </w:p>
    <w:p w14:paraId="2EE996EB" w14:textId="77777777" w:rsidR="009E6FF5" w:rsidRPr="00BB3634" w:rsidRDefault="009E6FF5" w:rsidP="000B18E5">
      <w:pPr>
        <w:pStyle w:val="NoSpacing"/>
        <w:rPr>
          <w:rStyle w:val="Emphasis"/>
          <w:caps w:val="0"/>
          <w:spacing w:val="0"/>
          <w:sz w:val="24"/>
          <w:szCs w:val="24"/>
        </w:rPr>
      </w:pPr>
    </w:p>
    <w:p w14:paraId="4685BCE8" w14:textId="541D508C" w:rsidR="003A667D" w:rsidRPr="00BB3634" w:rsidRDefault="00D75E69" w:rsidP="000B18E5">
      <w:pPr>
        <w:pStyle w:val="NoSpacing"/>
      </w:pPr>
      <w:r w:rsidRPr="00BB3634">
        <w:rPr>
          <w:rStyle w:val="Emphasis"/>
          <w:caps w:val="0"/>
          <w:spacing w:val="0"/>
          <w:sz w:val="24"/>
          <w:szCs w:val="24"/>
        </w:rPr>
        <w:t>T</w:t>
      </w:r>
      <w:r w:rsidR="003A667D" w:rsidRPr="00BB3634">
        <w:rPr>
          <w:rStyle w:val="Emphasis"/>
          <w:caps w:val="0"/>
          <w:spacing w:val="0"/>
          <w:sz w:val="24"/>
          <w:szCs w:val="24"/>
        </w:rPr>
        <w:t>he </w:t>
      </w:r>
      <w:r w:rsidR="003A667D" w:rsidRPr="00BB3634">
        <w:t>trial judge has discretion to appoint </w:t>
      </w:r>
      <w:r w:rsidR="003A667D" w:rsidRPr="00BB3634">
        <w:rPr>
          <w:rStyle w:val="Emphasis"/>
          <w:caps w:val="0"/>
          <w:spacing w:val="0"/>
          <w:sz w:val="24"/>
          <w:szCs w:val="24"/>
        </w:rPr>
        <w:t>amicus</w:t>
      </w:r>
      <w:r w:rsidR="003A667D" w:rsidRPr="00BB3634">
        <w:t> to assist in the consideration of issues relevant to confidential informants in “particularly difficult cases”. </w:t>
      </w:r>
      <w:r w:rsidR="003A667D" w:rsidRPr="00BB3634">
        <w:rPr>
          <w:rStyle w:val="Emphasis"/>
          <w:caps w:val="0"/>
          <w:spacing w:val="0"/>
          <w:sz w:val="24"/>
          <w:szCs w:val="24"/>
        </w:rPr>
        <w:t>But </w:t>
      </w:r>
      <w:r w:rsidR="003A667D" w:rsidRPr="00BB3634">
        <w:t xml:space="preserve">the </w:t>
      </w:r>
      <w:r w:rsidR="003A667D" w:rsidRPr="00BB3634">
        <w:lastRenderedPageBreak/>
        <w:t>appointment of </w:t>
      </w:r>
      <w:r w:rsidR="003A667D" w:rsidRPr="00BB3634">
        <w:rPr>
          <w:rStyle w:val="Emphasis"/>
          <w:caps w:val="0"/>
          <w:spacing w:val="0"/>
          <w:sz w:val="24"/>
          <w:szCs w:val="24"/>
        </w:rPr>
        <w:t>amicus </w:t>
      </w:r>
      <w:r w:rsidR="003A667D" w:rsidRPr="00BB3634">
        <w:t>on a step six procedure is the exception rather than the rule. It is incumbent on the defence to demonstrate why the appointment of </w:t>
      </w:r>
      <w:r w:rsidR="003A667D" w:rsidRPr="00BB3634">
        <w:rPr>
          <w:rStyle w:val="Emphasis"/>
          <w:caps w:val="0"/>
          <w:spacing w:val="0"/>
          <w:sz w:val="24"/>
          <w:szCs w:val="24"/>
        </w:rPr>
        <w:t>amicus</w:t>
      </w:r>
      <w:r w:rsidR="003A667D" w:rsidRPr="00BB3634">
        <w:t> is necessary in a particular case and to set out a proposed procedure for the use of </w:t>
      </w:r>
      <w:r w:rsidR="003A667D" w:rsidRPr="00BB3634">
        <w:rPr>
          <w:rStyle w:val="Emphasis"/>
          <w:caps w:val="0"/>
          <w:spacing w:val="0"/>
          <w:sz w:val="24"/>
          <w:szCs w:val="24"/>
        </w:rPr>
        <w:t>amicus</w:t>
      </w:r>
      <w:r w:rsidR="003A667D" w:rsidRPr="00BB3634">
        <w:t xml:space="preserve"> that protects the confidentiality of the CI’s identity: </w:t>
      </w:r>
      <w:r w:rsidRPr="00BB3634">
        <w:rPr>
          <w:rStyle w:val="Emphasis"/>
          <w:i/>
          <w:caps w:val="0"/>
          <w:spacing w:val="0"/>
          <w:sz w:val="24"/>
          <w:szCs w:val="24"/>
        </w:rPr>
        <w:t>R v</w:t>
      </w:r>
      <w:r w:rsidR="003A667D" w:rsidRPr="00BB3634">
        <w:rPr>
          <w:rStyle w:val="Emphasis"/>
          <w:i/>
          <w:caps w:val="0"/>
          <w:spacing w:val="0"/>
          <w:sz w:val="24"/>
          <w:szCs w:val="24"/>
        </w:rPr>
        <w:t xml:space="preserve"> Shivrattan</w:t>
      </w:r>
      <w:r w:rsidR="003A667D" w:rsidRPr="00BB3634">
        <w:rPr>
          <w:rStyle w:val="Emphasis"/>
          <w:caps w:val="0"/>
          <w:spacing w:val="0"/>
          <w:sz w:val="24"/>
          <w:szCs w:val="24"/>
        </w:rPr>
        <w:t>,</w:t>
      </w:r>
      <w:r w:rsidR="003A667D" w:rsidRPr="00BB3634">
        <w:t xml:space="preserve"> 2017 ONCA 23, at paras. 65-66; </w:t>
      </w:r>
      <w:r w:rsidR="003A667D" w:rsidRPr="00BB3634">
        <w:rPr>
          <w:i/>
        </w:rPr>
        <w:t>R v Thompson</w:t>
      </w:r>
      <w:r w:rsidR="003A667D" w:rsidRPr="00BB3634">
        <w:t xml:space="preserve">, </w:t>
      </w:r>
      <w:hyperlink r:id="rId156" w:history="1">
        <w:r w:rsidR="003A667D" w:rsidRPr="00BB3634">
          <w:rPr>
            <w:rStyle w:val="Hyperlink"/>
            <w:color w:val="000000"/>
            <w:u w:val="none"/>
          </w:rPr>
          <w:t>2017 ONCA 204</w:t>
        </w:r>
      </w:hyperlink>
      <w:r w:rsidR="003A667D" w:rsidRPr="00BB3634">
        <w:t xml:space="preserve"> at para 17. </w:t>
      </w:r>
    </w:p>
    <w:p w14:paraId="705F53B2" w14:textId="77777777" w:rsidR="003A667D" w:rsidRPr="00BB3634" w:rsidRDefault="003A667D" w:rsidP="000B18E5">
      <w:pPr>
        <w:pStyle w:val="NoSpacing"/>
      </w:pPr>
    </w:p>
    <w:p w14:paraId="6DAD87B5" w14:textId="5B31FA4B" w:rsidR="00BF14D7" w:rsidRDefault="003A667D" w:rsidP="000B18E5">
      <w:pPr>
        <w:pStyle w:val="NoSpacing"/>
      </w:pPr>
      <w:r w:rsidRPr="00BB3634">
        <w:t>There are many sensitive issues that would have to be resolved before the trial judge could appoint</w:t>
      </w:r>
      <w:r w:rsidR="00D75E69" w:rsidRPr="00BB3634">
        <w:t xml:space="preserve"> amicus </w:t>
      </w:r>
      <w:r w:rsidRPr="00BB3634">
        <w:t>on a “Step Six” procedure,” including the relationship between</w:t>
      </w:r>
      <w:r w:rsidR="00D75E69" w:rsidRPr="00BB3634">
        <w:t xml:space="preserve"> amicus </w:t>
      </w:r>
      <w:r w:rsidRPr="00BB3634">
        <w:t>and defence counsel. Steps would have to be taken to ensure that</w:t>
      </w:r>
      <w:r w:rsidR="00D75E69" w:rsidRPr="00BB3634">
        <w:t xml:space="preserve"> amicus </w:t>
      </w:r>
      <w:r w:rsidRPr="00BB3634">
        <w:t xml:space="preserve">did not inadvertently disclose anything that would reveal the identity of the CI: </w:t>
      </w:r>
      <w:r w:rsidRPr="00BB3634">
        <w:rPr>
          <w:i/>
        </w:rPr>
        <w:t xml:space="preserve">Shivrattan </w:t>
      </w:r>
      <w:r w:rsidRPr="00BB3634">
        <w:t xml:space="preserve">at para 67; </w:t>
      </w:r>
      <w:r w:rsidRPr="00BB3634">
        <w:rPr>
          <w:i/>
        </w:rPr>
        <w:t xml:space="preserve">Thompson </w:t>
      </w:r>
      <w:r w:rsidRPr="00BB3634">
        <w:t>at para 21.</w:t>
      </w:r>
    </w:p>
    <w:p w14:paraId="275BFF0A" w14:textId="77777777" w:rsidR="00BB3634" w:rsidRPr="00BB3634" w:rsidRDefault="00BB3634" w:rsidP="000B18E5">
      <w:pPr>
        <w:pStyle w:val="NoSpacing"/>
      </w:pPr>
    </w:p>
    <w:p w14:paraId="6082482A" w14:textId="37795049" w:rsidR="00BF14D7" w:rsidRPr="00BB3634" w:rsidRDefault="00BF14D7" w:rsidP="007A6720">
      <w:pPr>
        <w:pStyle w:val="Heading3"/>
        <w:numPr>
          <w:ilvl w:val="0"/>
          <w:numId w:val="14"/>
        </w:numPr>
      </w:pPr>
      <w:bookmarkStart w:id="54" w:name="_Toc94360135"/>
      <w:r w:rsidRPr="00BB3634">
        <w:t>Electronic Searches (mobiles and computers)</w:t>
      </w:r>
      <w:bookmarkEnd w:id="54"/>
    </w:p>
    <w:p w14:paraId="76152854" w14:textId="688480E2" w:rsidR="00BF14D7" w:rsidRPr="00BB3634" w:rsidRDefault="00BF14D7" w:rsidP="000B18E5">
      <w:pPr>
        <w:pStyle w:val="NoSpacing"/>
      </w:pPr>
      <w:r w:rsidRPr="00BB3634">
        <w:t>It cannot be assumed that a justice who has authorized the search of a place has taken into account the privacy interests that might be compromised by the search of any computers or mobile communication devices that might be found within that place: </w:t>
      </w:r>
      <w:r w:rsidRPr="00BB3634">
        <w:rPr>
          <w:i/>
        </w:rPr>
        <w:t>Nero</w:t>
      </w:r>
      <w:r w:rsidRPr="00BB3634">
        <w:t> at para 157</w:t>
      </w:r>
    </w:p>
    <w:p w14:paraId="24B9174E" w14:textId="77777777" w:rsidR="00BF14D7" w:rsidRPr="00BB3634" w:rsidRDefault="00BF14D7" w:rsidP="000B18E5">
      <w:pPr>
        <w:pStyle w:val="NoSpacing"/>
      </w:pPr>
      <w:r w:rsidRPr="00BB3634">
        <w:t>​​</w:t>
      </w:r>
    </w:p>
    <w:p w14:paraId="2F4B4449" w14:textId="10A370C1" w:rsidR="00BF14D7" w:rsidRPr="00BB3634" w:rsidRDefault="00BF14D7" w:rsidP="000B18E5">
      <w:pPr>
        <w:pStyle w:val="NoSpacing"/>
      </w:pPr>
      <w:r w:rsidRPr="00BB3634">
        <w:t>A computer search requires specific pre-authorization. If police intend to search computers or mobile communication devices found within a place with respect to which they seek a warrant, they must satisfy the authorizing justice, by information on oath, that they have reasonable grounds to believe that any computer or other mobile communication device they discover will contain the things for which they are looking: Nero at para 158-159</w:t>
      </w:r>
    </w:p>
    <w:p w14:paraId="2F9EEA06" w14:textId="548BC471" w:rsidR="00FD5B81" w:rsidRPr="00BB3634" w:rsidRDefault="00862656" w:rsidP="00BB3634">
      <w:pPr>
        <w:spacing w:before="100" w:beforeAutospacing="1" w:after="100" w:afterAutospacing="1" w:line="276" w:lineRule="auto"/>
        <w:jc w:val="both"/>
        <w:rPr>
          <w:rFonts w:ascii="Arial" w:hAnsi="Arial" w:cs="Arial"/>
          <w:color w:val="000000"/>
        </w:rPr>
      </w:pPr>
      <w:r w:rsidRPr="00BB3634">
        <w:rPr>
          <w:rFonts w:ascii="Arial" w:hAnsi="Arial" w:cs="Arial"/>
          <w:color w:val="000000"/>
        </w:rPr>
        <w:t xml:space="preserve">A broad search of multiple devices or large amounts of data unrelated to the specific investigation may violate s.8 of the </w:t>
      </w:r>
      <w:r w:rsidRPr="00BB3634">
        <w:rPr>
          <w:rFonts w:ascii="Arial" w:hAnsi="Arial" w:cs="Arial"/>
          <w:i/>
          <w:color w:val="000000"/>
        </w:rPr>
        <w:t>Charter</w:t>
      </w:r>
      <w:r w:rsidRPr="00BB3634">
        <w:rPr>
          <w:rFonts w:ascii="Arial" w:hAnsi="Arial" w:cs="Arial"/>
          <w:color w:val="000000"/>
        </w:rPr>
        <w:t xml:space="preserve">: </w:t>
      </w:r>
      <w:r w:rsidR="00325841" w:rsidRPr="00BB3634">
        <w:rPr>
          <w:rFonts w:ascii="Arial" w:hAnsi="Arial" w:cs="Arial"/>
          <w:i/>
          <w:color w:val="000000"/>
        </w:rPr>
        <w:t xml:space="preserve">R v John, </w:t>
      </w:r>
      <w:hyperlink r:id="rId157" w:history="1">
        <w:r w:rsidR="00325841" w:rsidRPr="00BB3634">
          <w:rPr>
            <w:rStyle w:val="Hyperlink"/>
            <w:rFonts w:ascii="Arial" w:hAnsi="Arial" w:cs="Arial"/>
          </w:rPr>
          <w:t>2018 ONCA 702</w:t>
        </w:r>
      </w:hyperlink>
      <w:r w:rsidR="00325841" w:rsidRPr="00BB3634">
        <w:rPr>
          <w:rFonts w:ascii="Arial" w:hAnsi="Arial" w:cs="Arial"/>
          <w:color w:val="000000"/>
        </w:rPr>
        <w:t xml:space="preserve"> at para 25 (citations omitted).</w:t>
      </w:r>
    </w:p>
    <w:p w14:paraId="7E84B7AD" w14:textId="17A188CE" w:rsidR="00FD5B81" w:rsidRPr="00BB3634" w:rsidRDefault="00FD5B81" w:rsidP="00FF4E15">
      <w:pPr>
        <w:pStyle w:val="Heading4"/>
        <w:numPr>
          <w:ilvl w:val="0"/>
          <w:numId w:val="34"/>
        </w:numPr>
        <w:spacing w:line="276" w:lineRule="auto"/>
        <w:rPr>
          <w:rFonts w:cs="Arial"/>
          <w:sz w:val="24"/>
          <w:szCs w:val="24"/>
        </w:rPr>
      </w:pPr>
      <w:r w:rsidRPr="00BB3634">
        <w:rPr>
          <w:rFonts w:cs="Arial"/>
          <w:sz w:val="24"/>
          <w:szCs w:val="24"/>
        </w:rPr>
        <w:t>Child Pornography cases</w:t>
      </w:r>
    </w:p>
    <w:p w14:paraId="3E514222" w14:textId="77777777" w:rsidR="00D75E69" w:rsidRPr="00BB3634" w:rsidRDefault="00D75E69" w:rsidP="000B18E5">
      <w:pPr>
        <w:pStyle w:val="NoSpacing"/>
      </w:pPr>
    </w:p>
    <w:p w14:paraId="7875E4C9" w14:textId="27A941AA" w:rsidR="00FD5B81" w:rsidRPr="00BB3634" w:rsidRDefault="00F541D9" w:rsidP="00BB3634">
      <w:pPr>
        <w:spacing w:before="100" w:beforeAutospacing="1" w:after="100" w:afterAutospacing="1" w:line="276" w:lineRule="auto"/>
        <w:jc w:val="both"/>
        <w:rPr>
          <w:rFonts w:ascii="Arial" w:hAnsi="Arial" w:cs="Arial"/>
          <w:color w:val="000000"/>
        </w:rPr>
      </w:pPr>
      <w:r w:rsidRPr="00BB3634">
        <w:rPr>
          <w:rFonts w:ascii="Arial" w:hAnsi="Arial" w:cs="Arial"/>
          <w:color w:val="000000"/>
        </w:rPr>
        <w:t xml:space="preserve">In a search warrant targeting child pornography on a computer, </w:t>
      </w:r>
      <w:r w:rsidR="00FD5B81" w:rsidRPr="00BB3634">
        <w:rPr>
          <w:rFonts w:ascii="Arial" w:hAnsi="Arial" w:cs="Arial"/>
          <w:color w:val="000000"/>
        </w:rPr>
        <w:t xml:space="preserve">it </w:t>
      </w:r>
      <w:r w:rsidRPr="00BB3634">
        <w:rPr>
          <w:rFonts w:ascii="Arial" w:hAnsi="Arial" w:cs="Arial"/>
          <w:color w:val="000000"/>
        </w:rPr>
        <w:t>may be</w:t>
      </w:r>
      <w:r w:rsidR="00FD5B81" w:rsidRPr="00BB3634">
        <w:rPr>
          <w:rFonts w:ascii="Arial" w:hAnsi="Arial" w:cs="Arial"/>
          <w:color w:val="000000"/>
        </w:rPr>
        <w:t xml:space="preserve"> reasonable for police to look at all image and video files. </w:t>
      </w:r>
      <w:r w:rsidR="00C80139" w:rsidRPr="00BB3634">
        <w:rPr>
          <w:rFonts w:ascii="Arial" w:hAnsi="Arial" w:cs="Arial"/>
          <w:color w:val="000000"/>
        </w:rPr>
        <w:t>In a case where there are multiple users of the computer, i</w:t>
      </w:r>
      <w:r w:rsidR="00FD5B81" w:rsidRPr="00BB3634">
        <w:rPr>
          <w:rFonts w:ascii="Arial" w:hAnsi="Arial" w:cs="Arial"/>
          <w:color w:val="000000"/>
        </w:rPr>
        <w:t xml:space="preserve">t </w:t>
      </w:r>
      <w:r w:rsidR="00C80139" w:rsidRPr="00BB3634">
        <w:rPr>
          <w:rFonts w:ascii="Arial" w:hAnsi="Arial" w:cs="Arial"/>
          <w:color w:val="000000"/>
        </w:rPr>
        <w:t>may</w:t>
      </w:r>
      <w:r w:rsidR="00FD5B81" w:rsidRPr="00BB3634">
        <w:rPr>
          <w:rFonts w:ascii="Arial" w:hAnsi="Arial" w:cs="Arial"/>
          <w:color w:val="000000"/>
        </w:rPr>
        <w:t xml:space="preserve"> also reasonable</w:t>
      </w:r>
      <w:r w:rsidR="00C80139" w:rsidRPr="00BB3634">
        <w:rPr>
          <w:rFonts w:ascii="Arial" w:hAnsi="Arial" w:cs="Arial"/>
          <w:color w:val="000000"/>
        </w:rPr>
        <w:t xml:space="preserve"> be reasonable for police </w:t>
      </w:r>
      <w:r w:rsidR="00D0363C" w:rsidRPr="00BB3634">
        <w:rPr>
          <w:rFonts w:ascii="Arial" w:hAnsi="Arial" w:cs="Arial"/>
          <w:color w:val="000000"/>
        </w:rPr>
        <w:t xml:space="preserve">to </w:t>
      </w:r>
      <w:r w:rsidR="00FD5B81" w:rsidRPr="00BB3634">
        <w:rPr>
          <w:rFonts w:ascii="Arial" w:hAnsi="Arial" w:cs="Arial"/>
          <w:color w:val="000000"/>
        </w:rPr>
        <w:t xml:space="preserve">examine the internet search history and the dates and times of access to the </w:t>
      </w:r>
      <w:r w:rsidR="00D0363C" w:rsidRPr="00BB3634">
        <w:rPr>
          <w:rFonts w:ascii="Arial" w:hAnsi="Arial" w:cs="Arial"/>
          <w:color w:val="000000"/>
        </w:rPr>
        <w:t>accused’s</w:t>
      </w:r>
      <w:r w:rsidR="00FD5B81" w:rsidRPr="00BB3634">
        <w:rPr>
          <w:rFonts w:ascii="Arial" w:hAnsi="Arial" w:cs="Arial"/>
          <w:color w:val="000000"/>
        </w:rPr>
        <w:t xml:space="preserve"> internet accounts to identify the person searching for child pornography. </w:t>
      </w:r>
      <w:r w:rsidR="00131B91" w:rsidRPr="00BB3634">
        <w:rPr>
          <w:rFonts w:ascii="Arial" w:hAnsi="Arial" w:cs="Arial"/>
          <w:color w:val="000000"/>
        </w:rPr>
        <w:t xml:space="preserve">The search for the identity of the person searching for child </w:t>
      </w:r>
      <w:r w:rsidR="00131B91" w:rsidRPr="00BB3634">
        <w:rPr>
          <w:rFonts w:ascii="Arial" w:hAnsi="Arial" w:cs="Arial"/>
          <w:color w:val="000000"/>
        </w:rPr>
        <w:lastRenderedPageBreak/>
        <w:t xml:space="preserve">pornography may also justify the police looking at documents, banking records, and other programs or files: </w:t>
      </w:r>
      <w:r w:rsidR="00131B91" w:rsidRPr="00BB3634">
        <w:rPr>
          <w:rFonts w:ascii="Arial" w:hAnsi="Arial" w:cs="Arial"/>
          <w:i/>
          <w:color w:val="000000"/>
        </w:rPr>
        <w:t xml:space="preserve">R v John, </w:t>
      </w:r>
      <w:hyperlink r:id="rId158" w:history="1">
        <w:r w:rsidR="00131B91" w:rsidRPr="00BB3634">
          <w:rPr>
            <w:rStyle w:val="Hyperlink"/>
            <w:rFonts w:ascii="Arial" w:hAnsi="Arial" w:cs="Arial"/>
          </w:rPr>
          <w:t>2018 ONCA 702</w:t>
        </w:r>
      </w:hyperlink>
      <w:r w:rsidR="00131B91" w:rsidRPr="00BB3634">
        <w:rPr>
          <w:rFonts w:ascii="Arial" w:hAnsi="Arial" w:cs="Arial"/>
          <w:color w:val="000000"/>
        </w:rPr>
        <w:t xml:space="preserve"> at paras 21-22</w:t>
      </w:r>
    </w:p>
    <w:p w14:paraId="0DAAA8AB" w14:textId="493DCF5A" w:rsidR="00483C09" w:rsidRPr="00BB3634" w:rsidRDefault="00483C09" w:rsidP="00BB3634">
      <w:pPr>
        <w:spacing w:before="100" w:beforeAutospacing="1" w:after="100" w:afterAutospacing="1" w:line="276" w:lineRule="auto"/>
        <w:jc w:val="both"/>
        <w:rPr>
          <w:rFonts w:ascii="Arial" w:hAnsi="Arial" w:cs="Arial"/>
          <w:color w:val="000000"/>
        </w:rPr>
      </w:pPr>
      <w:r w:rsidRPr="00BB3634">
        <w:rPr>
          <w:rFonts w:ascii="Arial" w:hAnsi="Arial" w:cs="Arial"/>
          <w:color w:val="000000"/>
        </w:rPr>
        <w:t>There need not be prior evidence of concealment of incriminating evidence before police can look at all images and videos stored on a computer in this kind of investigation where some child pornography has been located on the computer on initial examination. Rather, a search of all images and videos is appropriate in an investigation like this precisely to determine whether there is more child pornography on the computer. To limit police to searches by hash values, file names and download folders would be to provide a roadmap for concealment of files containing child pornography.</w:t>
      </w:r>
    </w:p>
    <w:p w14:paraId="671554A0" w14:textId="5A990ABF" w:rsidR="00483C09" w:rsidRPr="00BB3634" w:rsidRDefault="00862656" w:rsidP="00BB3634">
      <w:pPr>
        <w:spacing w:before="100" w:beforeAutospacing="1" w:after="100" w:afterAutospacing="1" w:line="276" w:lineRule="auto"/>
        <w:jc w:val="both"/>
        <w:rPr>
          <w:rFonts w:ascii="Arial" w:hAnsi="Arial" w:cs="Arial"/>
          <w:color w:val="000000"/>
        </w:rPr>
      </w:pPr>
      <w:r w:rsidRPr="00BB3634">
        <w:rPr>
          <w:rFonts w:ascii="Arial" w:hAnsi="Arial" w:cs="Arial"/>
          <w:color w:val="000000"/>
        </w:rPr>
        <w:t>Nor is a</w:t>
      </w:r>
      <w:r w:rsidR="00483C09" w:rsidRPr="00BB3634">
        <w:rPr>
          <w:rFonts w:ascii="Arial" w:hAnsi="Arial" w:cs="Arial"/>
          <w:color w:val="000000"/>
        </w:rPr>
        <w:t xml:space="preserve"> search </w:t>
      </w:r>
      <w:r w:rsidRPr="00BB3634">
        <w:rPr>
          <w:rFonts w:ascii="Arial" w:hAnsi="Arial" w:cs="Arial"/>
          <w:color w:val="000000"/>
        </w:rPr>
        <w:t>necessarily</w:t>
      </w:r>
      <w:r w:rsidR="00483C09" w:rsidRPr="00BB3634">
        <w:rPr>
          <w:rFonts w:ascii="Arial" w:hAnsi="Arial" w:cs="Arial"/>
          <w:color w:val="000000"/>
        </w:rPr>
        <w:t xml:space="preserve"> overbroad because it </w:t>
      </w:r>
      <w:r w:rsidRPr="00BB3634">
        <w:rPr>
          <w:rFonts w:ascii="Arial" w:hAnsi="Arial" w:cs="Arial"/>
          <w:color w:val="000000"/>
        </w:rPr>
        <w:t>is</w:t>
      </w:r>
      <w:r w:rsidR="00483C09" w:rsidRPr="00BB3634">
        <w:rPr>
          <w:rFonts w:ascii="Arial" w:hAnsi="Arial" w:cs="Arial"/>
          <w:color w:val="000000"/>
        </w:rPr>
        <w:t xml:space="preserve"> not tailored to a date range in terms of the files searched</w:t>
      </w:r>
      <w:r w:rsidRPr="00BB3634">
        <w:rPr>
          <w:rFonts w:ascii="Arial" w:hAnsi="Arial" w:cs="Arial"/>
          <w:color w:val="000000"/>
        </w:rPr>
        <w:t>, provided</w:t>
      </w:r>
      <w:r w:rsidR="00483C09" w:rsidRPr="00BB3634">
        <w:rPr>
          <w:rFonts w:ascii="Arial" w:hAnsi="Arial" w:cs="Arial"/>
          <w:color w:val="000000"/>
        </w:rPr>
        <w:t xml:space="preserve"> the police </w:t>
      </w:r>
      <w:r w:rsidRPr="00BB3634">
        <w:rPr>
          <w:rFonts w:ascii="Arial" w:hAnsi="Arial" w:cs="Arial"/>
          <w:color w:val="000000"/>
        </w:rPr>
        <w:t>are</w:t>
      </w:r>
      <w:r w:rsidR="00483C09" w:rsidRPr="00BB3634">
        <w:rPr>
          <w:rFonts w:ascii="Arial" w:hAnsi="Arial" w:cs="Arial"/>
          <w:color w:val="000000"/>
        </w:rPr>
        <w:t xml:space="preserve"> looking for images and videos of child pornography and evidence that might show who wa</w:t>
      </w:r>
      <w:r w:rsidR="00325841" w:rsidRPr="00BB3634">
        <w:rPr>
          <w:rFonts w:ascii="Arial" w:hAnsi="Arial" w:cs="Arial"/>
          <w:color w:val="000000"/>
        </w:rPr>
        <w:t xml:space="preserve">s responsible for that content: </w:t>
      </w:r>
      <w:r w:rsidR="00325841" w:rsidRPr="00BB3634">
        <w:rPr>
          <w:rFonts w:ascii="Arial" w:hAnsi="Arial" w:cs="Arial"/>
          <w:i/>
          <w:color w:val="000000"/>
        </w:rPr>
        <w:t xml:space="preserve">John </w:t>
      </w:r>
      <w:r w:rsidR="00325841" w:rsidRPr="00BB3634">
        <w:rPr>
          <w:rFonts w:ascii="Arial" w:hAnsi="Arial" w:cs="Arial"/>
          <w:color w:val="000000"/>
        </w:rPr>
        <w:t>at paras 24-25</w:t>
      </w:r>
    </w:p>
    <w:p w14:paraId="589ACA1C" w14:textId="77777777" w:rsidR="00FD5B81" w:rsidRPr="00BB3634" w:rsidRDefault="00FD5B81" w:rsidP="000B18E5">
      <w:pPr>
        <w:pStyle w:val="NoSpacing"/>
      </w:pPr>
    </w:p>
    <w:p w14:paraId="6592346F" w14:textId="64D59AFB" w:rsidR="00BF14D7" w:rsidRPr="00BB3634" w:rsidRDefault="00BF14D7" w:rsidP="007A6720">
      <w:pPr>
        <w:pStyle w:val="Heading3"/>
        <w:numPr>
          <w:ilvl w:val="0"/>
          <w:numId w:val="14"/>
        </w:numPr>
      </w:pPr>
      <w:bookmarkStart w:id="55" w:name="_Toc94360136"/>
      <w:r w:rsidRPr="00BB3634">
        <w:t>​Notice Requirements</w:t>
      </w:r>
      <w:bookmarkEnd w:id="55"/>
    </w:p>
    <w:p w14:paraId="7E046F29" w14:textId="77777777" w:rsidR="005956AC" w:rsidRPr="00BB3634" w:rsidRDefault="005956AC" w:rsidP="000B18E5">
      <w:pPr>
        <w:pStyle w:val="NoSpacing"/>
      </w:pPr>
    </w:p>
    <w:p w14:paraId="34F27897" w14:textId="43ED3483" w:rsidR="00BF14D7" w:rsidRPr="00BB3634" w:rsidRDefault="00BF14D7" w:rsidP="000B18E5">
      <w:pPr>
        <w:pStyle w:val="NoSpacing"/>
      </w:pPr>
      <w:r w:rsidRPr="00BB3634">
        <w:t>A search warrant can include a statutorily-mandated requirement to inform the recipient of the existence and execution of the warrant within 180 days after the warrant’s execution: </w:t>
      </w:r>
      <w:r w:rsidRPr="00BB3634">
        <w:rPr>
          <w:i/>
        </w:rPr>
        <w:t>R v Coderre, </w:t>
      </w:r>
      <w:hyperlink r:id="rId159" w:tgtFrame="_blank" w:history="1">
        <w:r w:rsidRPr="00BB3634">
          <w:rPr>
            <w:u w:val="single"/>
          </w:rPr>
          <w:t>2016 ONCA 276</w:t>
        </w:r>
      </w:hyperlink>
      <w:r w:rsidRPr="00BB3634">
        <w:t> at para 2</w:t>
      </w:r>
    </w:p>
    <w:p w14:paraId="550912C5" w14:textId="77777777" w:rsidR="00BF14D7" w:rsidRPr="00BB3634" w:rsidRDefault="00BF14D7" w:rsidP="000B18E5">
      <w:pPr>
        <w:pStyle w:val="NoSpacing"/>
      </w:pPr>
      <w:r w:rsidRPr="00BB3634">
        <w:t>​</w:t>
      </w:r>
    </w:p>
    <w:p w14:paraId="5821E835" w14:textId="77777777" w:rsidR="00BF14D7" w:rsidRPr="00BB3634" w:rsidRDefault="00BF14D7" w:rsidP="000B18E5">
      <w:pPr>
        <w:pStyle w:val="NoSpacing"/>
      </w:pPr>
      <w:r w:rsidRPr="00BB3634">
        <w:t>The requirement of after-the-fact notice casts a constitutionally important light back on the statutorily authorised intrusion because s. 8 protects an “ability to identify and challenge such invasions, and to seek a meaningful remedy.”</w:t>
      </w:r>
    </w:p>
    <w:p w14:paraId="27D60E86" w14:textId="77777777" w:rsidR="00BF14D7" w:rsidRPr="00BB3634" w:rsidRDefault="00BF14D7" w:rsidP="000B18E5">
      <w:pPr>
        <w:pStyle w:val="NoSpacing"/>
      </w:pPr>
      <w:r w:rsidRPr="00BB3634">
        <w:t>​</w:t>
      </w:r>
    </w:p>
    <w:p w14:paraId="59F7F947" w14:textId="77777777" w:rsidR="00BF14D7" w:rsidRPr="00BB3634" w:rsidRDefault="00BF14D7" w:rsidP="000B18E5">
      <w:pPr>
        <w:pStyle w:val="NoSpacing"/>
      </w:pPr>
      <w:r w:rsidRPr="00BB3634">
        <w:t>The failure to abide by a statutorily-mandated requirement to provide notice fails to give effect to those protections and, therefore, infringes the Charter: </w:t>
      </w:r>
      <w:r w:rsidRPr="00BB3634">
        <w:rPr>
          <w:i/>
        </w:rPr>
        <w:t>Coderre </w:t>
      </w:r>
      <w:r w:rsidRPr="00BB3634">
        <w:t>at para 13</w:t>
      </w:r>
    </w:p>
    <w:p w14:paraId="6FDF3EB3" w14:textId="66DD5E15" w:rsidR="00BF14D7" w:rsidRPr="00BB3634" w:rsidRDefault="00BF14D7" w:rsidP="00BB3634">
      <w:pPr>
        <w:spacing w:line="276" w:lineRule="auto"/>
        <w:textAlignment w:val="baseline"/>
        <w:rPr>
          <w:rFonts w:ascii="Arial" w:hAnsi="Arial" w:cs="Arial"/>
        </w:rPr>
      </w:pPr>
      <w:r w:rsidRPr="00BB3634">
        <w:rPr>
          <w:rFonts w:ascii="Arial" w:hAnsi="Arial" w:cs="Arial"/>
          <w:b/>
          <w:bCs/>
          <w:bdr w:val="none" w:sz="0" w:space="0" w:color="auto" w:frame="1"/>
        </w:rPr>
        <w:t>​</w:t>
      </w:r>
    </w:p>
    <w:p w14:paraId="0C34C5DA" w14:textId="4537165E" w:rsidR="00BF14D7" w:rsidRPr="00BB3634" w:rsidRDefault="00BF14D7" w:rsidP="00BB3634">
      <w:pPr>
        <w:pStyle w:val="Heading2"/>
        <w:spacing w:line="276" w:lineRule="auto"/>
        <w:rPr>
          <w:rFonts w:cs="Arial"/>
        </w:rPr>
      </w:pPr>
      <w:bookmarkStart w:id="56" w:name="_Toc94360137"/>
      <w:r w:rsidRPr="00BB3634">
        <w:rPr>
          <w:rFonts w:cs="Arial"/>
        </w:rPr>
        <w:t>Safety Searches</w:t>
      </w:r>
      <w:bookmarkEnd w:id="56"/>
    </w:p>
    <w:p w14:paraId="5F96E541" w14:textId="0B2900F6" w:rsidR="00BF14D7" w:rsidRPr="00BB3634" w:rsidRDefault="00BF14D7" w:rsidP="000B18E5">
      <w:pPr>
        <w:pStyle w:val="NoSpacing"/>
      </w:pPr>
      <w:r w:rsidRPr="00BB3634">
        <w:t>It is only when police officers have reasonable grounds to believe that there is an imminent threat to their safety that it will be reasonably necessary to conduct such a search: </w:t>
      </w:r>
      <w:r w:rsidRPr="00BB3634">
        <w:rPr>
          <w:i/>
        </w:rPr>
        <w:t>R v Jupiter, </w:t>
      </w:r>
      <w:hyperlink r:id="rId160" w:tgtFrame="_blank" w:history="1">
        <w:r w:rsidRPr="00BB3634">
          <w:rPr>
            <w:u w:val="single"/>
          </w:rPr>
          <w:t>2016 ONCA 114</w:t>
        </w:r>
      </w:hyperlink>
      <w:r w:rsidR="00DA1010" w:rsidRPr="00DA1010">
        <w:t xml:space="preserve"> </w:t>
      </w:r>
      <w:r w:rsidRPr="00BB3634">
        <w:t>at para 1</w:t>
      </w:r>
    </w:p>
    <w:p w14:paraId="3AE5DD22" w14:textId="77777777" w:rsidR="00BF14D7" w:rsidRPr="00BB3634" w:rsidRDefault="00BF14D7" w:rsidP="000B18E5">
      <w:pPr>
        <w:pStyle w:val="NoSpacing"/>
      </w:pPr>
      <w:r w:rsidRPr="00BB3634">
        <w:t> </w:t>
      </w:r>
    </w:p>
    <w:p w14:paraId="1F61381F" w14:textId="77777777" w:rsidR="00BF14D7" w:rsidRPr="00BB3634" w:rsidRDefault="00BF14D7" w:rsidP="000B18E5">
      <w:pPr>
        <w:pStyle w:val="NoSpacing"/>
      </w:pPr>
      <w:r w:rsidRPr="00BB3634">
        <w:lastRenderedPageBreak/>
        <w:t>Where officers decide to conduct a “safety” search before they arrive at a place and regardless of what happens when they get there,  that predetermination by the officers, while not conclusive as to the propriety of the safety search, goes a long way in support of a conclusion that the safety search cannot be justified on the basis of a reasonable apprehension of imminent harm: </w:t>
      </w:r>
      <w:r w:rsidRPr="00BB3634">
        <w:rPr>
          <w:i/>
        </w:rPr>
        <w:t>Jupiter </w:t>
      </w:r>
      <w:r w:rsidRPr="00BB3634">
        <w:t>at para 2</w:t>
      </w:r>
    </w:p>
    <w:p w14:paraId="6FB2BDC6" w14:textId="77777777" w:rsidR="00BF14D7" w:rsidRPr="00BB3634" w:rsidRDefault="00BF14D7" w:rsidP="000B18E5">
      <w:pPr>
        <w:pStyle w:val="NoSpacing"/>
      </w:pPr>
      <w:r w:rsidRPr="00BB3634">
        <w:t> </w:t>
      </w:r>
    </w:p>
    <w:p w14:paraId="777BD33E" w14:textId="614D0793" w:rsidR="00BF14D7" w:rsidRPr="00BB3634" w:rsidRDefault="00BF14D7" w:rsidP="000B18E5">
      <w:pPr>
        <w:pStyle w:val="NoSpacing"/>
      </w:pPr>
      <w:r w:rsidRPr="00BB3634">
        <w:t>For an extensive review of general principles governing the authority for police to conduct a safety search incidental to an investigative detention, particularly pursuant to a 911 call, see </w:t>
      </w:r>
      <w:r w:rsidRPr="00BB3634">
        <w:rPr>
          <w:i/>
        </w:rPr>
        <w:t>R v Lee, </w:t>
      </w:r>
      <w:hyperlink r:id="rId161" w:tgtFrame="_blank" w:history="1">
        <w:r w:rsidRPr="00BB3634">
          <w:rPr>
            <w:u w:val="single"/>
          </w:rPr>
          <w:t>2017 ONCA 654</w:t>
        </w:r>
      </w:hyperlink>
      <w:r w:rsidRPr="00BB3634">
        <w:t> at paras 27-43. See especially the concurring reasons of Pardu J beginning at para 72. </w:t>
      </w:r>
    </w:p>
    <w:p w14:paraId="63287C6D" w14:textId="77777777" w:rsidR="00D75E69" w:rsidRPr="00BB3634" w:rsidRDefault="00D75E69" w:rsidP="000B18E5">
      <w:pPr>
        <w:pStyle w:val="NoSpacing"/>
      </w:pPr>
    </w:p>
    <w:p w14:paraId="5F635F07" w14:textId="789D2860" w:rsidR="002A4576" w:rsidRDefault="002A4576" w:rsidP="003A0766">
      <w:pPr>
        <w:pStyle w:val="Heading2"/>
        <w:spacing w:line="276" w:lineRule="auto"/>
      </w:pPr>
      <w:bookmarkStart w:id="57" w:name="_Toc94360138"/>
      <w:r w:rsidRPr="00BB3634">
        <w:rPr>
          <w:rFonts w:cs="Arial"/>
        </w:rPr>
        <w:t xml:space="preserve">Search Incident to </w:t>
      </w:r>
      <w:r w:rsidR="003A0766">
        <w:rPr>
          <w:rFonts w:cs="Arial"/>
        </w:rPr>
        <w:t xml:space="preserve">Detention and </w:t>
      </w:r>
      <w:r w:rsidRPr="00BB3634">
        <w:rPr>
          <w:rFonts w:cs="Arial"/>
        </w:rPr>
        <w:t>Arrest</w:t>
      </w:r>
      <w:bookmarkEnd w:id="57"/>
      <w:r w:rsidR="003A0766">
        <w:rPr>
          <w:rFonts w:cs="Arial"/>
        </w:rPr>
        <w:t xml:space="preserve"> </w:t>
      </w:r>
    </w:p>
    <w:p w14:paraId="7E560887" w14:textId="45FD5D54" w:rsidR="003A0766" w:rsidRDefault="003A0766" w:rsidP="000B18E5">
      <w:pPr>
        <w:pStyle w:val="NoSpacing"/>
      </w:pPr>
    </w:p>
    <w:p w14:paraId="23F2427F" w14:textId="087E8B7C" w:rsidR="003A0766" w:rsidRDefault="003A0766" w:rsidP="007A6720">
      <w:pPr>
        <w:pStyle w:val="Heading3"/>
        <w:numPr>
          <w:ilvl w:val="0"/>
          <w:numId w:val="52"/>
        </w:numPr>
      </w:pPr>
      <w:bookmarkStart w:id="58" w:name="_Toc94360139"/>
      <w:r>
        <w:t>Search Incident to Detention versus Arrest</w:t>
      </w:r>
      <w:bookmarkEnd w:id="58"/>
    </w:p>
    <w:p w14:paraId="6539C798" w14:textId="77777777" w:rsidR="003A0766" w:rsidRDefault="003A0766" w:rsidP="000B18E5">
      <w:pPr>
        <w:pStyle w:val="NoSpacing"/>
      </w:pPr>
    </w:p>
    <w:p w14:paraId="7E876C81" w14:textId="4982E1E6" w:rsidR="003A0766" w:rsidRDefault="003A0766" w:rsidP="000B18E5">
      <w:pPr>
        <w:pStyle w:val="NoSpacing"/>
      </w:pPr>
      <w:r w:rsidRPr="003A0766">
        <w:t xml:space="preserve">In order to search incident to an investigative detention, the police must have reasonable grounds to believe that their safety is at risk. However, reasonable grounds are not necessary to conduct a search incident to arrest. A person who is under lawful arrest has a lower </w:t>
      </w:r>
      <w:r w:rsidR="00E116FB">
        <w:t>r</w:t>
      </w:r>
      <w:r w:rsidRPr="003A0766">
        <w:t>easonable expectation of privacy. The only question is whether the objective of the search is connected to the arrest and whether it is reasonable in the circumstances</w:t>
      </w:r>
      <w:r>
        <w:t xml:space="preserve">: </w:t>
      </w:r>
      <w:r>
        <w:rPr>
          <w:i/>
        </w:rPr>
        <w:t xml:space="preserve">R v Stairs, </w:t>
      </w:r>
      <w:hyperlink r:id="rId162" w:history="1">
        <w:r w:rsidRPr="003A0766">
          <w:rPr>
            <w:rStyle w:val="Hyperlink"/>
          </w:rPr>
          <w:t>2020 ONCA 678</w:t>
        </w:r>
      </w:hyperlink>
      <w:r>
        <w:t>, at paras 54-56</w:t>
      </w:r>
      <w:r w:rsidR="00BA05D8">
        <w:t>; see also dissenting reasons at paras 76-79</w:t>
      </w:r>
    </w:p>
    <w:p w14:paraId="7985B714" w14:textId="77777777" w:rsidR="003A0766" w:rsidRDefault="003A0766" w:rsidP="000B18E5">
      <w:pPr>
        <w:pStyle w:val="NoSpacing"/>
      </w:pPr>
    </w:p>
    <w:p w14:paraId="681BB9DD" w14:textId="2AB9C172" w:rsidR="003A0766" w:rsidRPr="003A0766" w:rsidRDefault="003A0766" w:rsidP="007A6720">
      <w:pPr>
        <w:pStyle w:val="Heading3"/>
      </w:pPr>
      <w:bookmarkStart w:id="59" w:name="_Toc94360140"/>
      <w:r>
        <w:t>General Principles</w:t>
      </w:r>
      <w:bookmarkEnd w:id="59"/>
    </w:p>
    <w:p w14:paraId="66E745D0" w14:textId="049D4E9E" w:rsidR="001771AA" w:rsidRPr="00BB3634" w:rsidRDefault="00702CC3" w:rsidP="00BB3634">
      <w:pPr>
        <w:pStyle w:val="aparanumbering"/>
        <w:spacing w:line="276" w:lineRule="auto"/>
        <w:jc w:val="both"/>
        <w:rPr>
          <w:rFonts w:ascii="Arial" w:hAnsi="Arial" w:cs="Arial"/>
          <w:color w:val="000000"/>
          <w:sz w:val="24"/>
          <w:szCs w:val="24"/>
        </w:rPr>
      </w:pPr>
      <w:r w:rsidRPr="00BB3634">
        <w:rPr>
          <w:rFonts w:ascii="Arial" w:hAnsi="Arial" w:cs="Arial"/>
          <w:color w:val="000000"/>
          <w:sz w:val="24"/>
          <w:szCs w:val="24"/>
        </w:rPr>
        <w:t xml:space="preserve">A search incident to arrest is only valid if the arrest itself is lawful. </w:t>
      </w:r>
    </w:p>
    <w:p w14:paraId="08443ADD" w14:textId="77777777" w:rsidR="001771AA" w:rsidRPr="00BB3634" w:rsidRDefault="001771AA" w:rsidP="000B18E5">
      <w:pPr>
        <w:pStyle w:val="NoSpacing"/>
      </w:pPr>
      <w:r w:rsidRPr="00BB3634">
        <w:t> Valid police purposes associated with searches incidental to arrest include police safety, public safety, securing evidence, and discovering evidence</w:t>
      </w:r>
    </w:p>
    <w:p w14:paraId="1893ED6D" w14:textId="521D0B2D" w:rsidR="00702CC3" w:rsidRPr="00BB3634" w:rsidRDefault="00702CC3" w:rsidP="00BB3634">
      <w:pPr>
        <w:pStyle w:val="aparanumbering"/>
        <w:spacing w:line="276" w:lineRule="auto"/>
        <w:jc w:val="both"/>
        <w:rPr>
          <w:rFonts w:ascii="Arial" w:hAnsi="Arial" w:cs="Arial"/>
          <w:color w:val="000000"/>
          <w:sz w:val="24"/>
          <w:szCs w:val="24"/>
        </w:rPr>
      </w:pPr>
      <w:r w:rsidRPr="00BB3634">
        <w:rPr>
          <w:rFonts w:ascii="Arial" w:hAnsi="Arial" w:cs="Arial"/>
          <w:color w:val="000000"/>
          <w:sz w:val="24"/>
          <w:szCs w:val="24"/>
        </w:rPr>
        <w:t xml:space="preserve">The search must be truly incidental to the arrest. There must be some reasonable basis for the search, for example, to ensure the safety of the public and police; to protect evidence from destruction; or to discover evidence. To be truly incidental to the arrest means that the police must be attempting to achieve some valid purpose connected to the arrest. This involves both subjective and </w:t>
      </w:r>
      <w:r w:rsidRPr="00BB3634">
        <w:rPr>
          <w:rFonts w:ascii="Arial" w:hAnsi="Arial" w:cs="Arial"/>
          <w:color w:val="000000"/>
          <w:sz w:val="24"/>
          <w:szCs w:val="24"/>
        </w:rPr>
        <w:lastRenderedPageBreak/>
        <w:t>objective elements. The police must have one of the purposes for a valid search incident to arrest in mind when conducting the search. And the searching officer’s belief that this purpose will be served by the search must be reasonable: </w:t>
      </w:r>
      <w:r w:rsidRPr="00BB3634">
        <w:rPr>
          <w:rFonts w:ascii="Arial" w:hAnsi="Arial" w:cs="Arial"/>
          <w:i/>
          <w:color w:val="000000"/>
          <w:sz w:val="24"/>
          <w:szCs w:val="24"/>
        </w:rPr>
        <w:t xml:space="preserve">R v Gonzales, </w:t>
      </w:r>
      <w:hyperlink r:id="rId163" w:history="1">
        <w:r w:rsidRPr="00BB3634">
          <w:rPr>
            <w:rStyle w:val="Hyperlink"/>
            <w:rFonts w:ascii="Arial" w:hAnsi="Arial" w:cs="Arial"/>
            <w:sz w:val="24"/>
            <w:szCs w:val="24"/>
          </w:rPr>
          <w:t>2017 ONCA 543</w:t>
        </w:r>
      </w:hyperlink>
      <w:r w:rsidRPr="00BB3634">
        <w:rPr>
          <w:rFonts w:ascii="Arial" w:hAnsi="Arial" w:cs="Arial"/>
          <w:color w:val="000000"/>
          <w:sz w:val="24"/>
          <w:szCs w:val="24"/>
        </w:rPr>
        <w:t xml:space="preserve"> at para 98</w:t>
      </w:r>
      <w:r w:rsidR="001771AA" w:rsidRPr="00BB3634">
        <w:rPr>
          <w:rFonts w:ascii="Arial" w:hAnsi="Arial" w:cs="Arial"/>
          <w:color w:val="000000"/>
          <w:sz w:val="24"/>
          <w:szCs w:val="24"/>
        </w:rPr>
        <w:t xml:space="preserve">; </w:t>
      </w:r>
      <w:r w:rsidR="001771AA" w:rsidRPr="00BB3634">
        <w:rPr>
          <w:rFonts w:ascii="Arial" w:hAnsi="Arial" w:cs="Arial"/>
          <w:i/>
          <w:iCs/>
          <w:color w:val="000000"/>
          <w:sz w:val="24"/>
          <w:szCs w:val="24"/>
        </w:rPr>
        <w:t xml:space="preserve">R v Santana, </w:t>
      </w:r>
      <w:hyperlink r:id="rId164" w:history="1">
        <w:r w:rsidR="001771AA" w:rsidRPr="00BB3634">
          <w:rPr>
            <w:rStyle w:val="Hyperlink"/>
            <w:rFonts w:ascii="Arial" w:hAnsi="Arial" w:cs="Arial"/>
            <w:sz w:val="24"/>
            <w:szCs w:val="24"/>
          </w:rPr>
          <w:t>2020 ONCA 365,</w:t>
        </w:r>
      </w:hyperlink>
      <w:r w:rsidR="001771AA" w:rsidRPr="00BB3634">
        <w:rPr>
          <w:rFonts w:ascii="Arial" w:hAnsi="Arial" w:cs="Arial"/>
          <w:color w:val="000000"/>
          <w:sz w:val="24"/>
          <w:szCs w:val="24"/>
        </w:rPr>
        <w:t xml:space="preserve"> at para 28 </w:t>
      </w:r>
    </w:p>
    <w:p w14:paraId="256BA5EC" w14:textId="00BA415E" w:rsidR="00E02420" w:rsidRPr="00BB3634" w:rsidRDefault="00E02420" w:rsidP="000B18E5">
      <w:pPr>
        <w:pStyle w:val="NoSpacing"/>
      </w:pPr>
      <w:r w:rsidRPr="00BB3634">
        <w:t xml:space="preserve">The subjective component of the relevant legal standards plays an important role in ensuring that the police act for legitimate purposes and turn their minds to the legal authority they possess: </w:t>
      </w:r>
      <w:r w:rsidRPr="00BB3634">
        <w:rPr>
          <w:i/>
        </w:rPr>
        <w:t>R. v. Lai</w:t>
      </w:r>
      <w:r w:rsidRPr="00BB3634">
        <w:t xml:space="preserve">, 2019 ONCA 420, at paras. 29-30; </w:t>
      </w:r>
      <w:r w:rsidRPr="00BB3634">
        <w:rPr>
          <w:i/>
        </w:rPr>
        <w:t xml:space="preserve">R v Dudhi, </w:t>
      </w:r>
      <w:hyperlink r:id="rId165" w:history="1">
        <w:r w:rsidRPr="00BB3634">
          <w:rPr>
            <w:rStyle w:val="Hyperlink"/>
          </w:rPr>
          <w:t>2019 ONCA 665</w:t>
        </w:r>
      </w:hyperlink>
      <w:r w:rsidRPr="00BB3634">
        <w:t>, at para 64</w:t>
      </w:r>
    </w:p>
    <w:p w14:paraId="6E90B1F4" w14:textId="0D592B29" w:rsidR="00702CC3" w:rsidRPr="00BB3634" w:rsidRDefault="00702CC3" w:rsidP="00BB3634">
      <w:pPr>
        <w:pStyle w:val="aparanumbering"/>
        <w:spacing w:line="276" w:lineRule="auto"/>
        <w:jc w:val="both"/>
        <w:rPr>
          <w:rFonts w:ascii="Arial" w:hAnsi="Arial" w:cs="Arial"/>
          <w:sz w:val="24"/>
          <w:szCs w:val="24"/>
        </w:rPr>
      </w:pPr>
      <w:r w:rsidRPr="00BB3634">
        <w:rPr>
          <w:rFonts w:ascii="Arial" w:hAnsi="Arial" w:cs="Arial"/>
          <w:color w:val="000000"/>
          <w:sz w:val="24"/>
          <w:szCs w:val="24"/>
        </w:rPr>
        <w:t xml:space="preserve">Where the justification for a search incident to arrest is to find evidence, there must be some reasonable prospect of securing evidence of the offence for which the arrest has been made. </w:t>
      </w:r>
      <w:r w:rsidRPr="00BB3634">
        <w:rPr>
          <w:rFonts w:ascii="Arial" w:hAnsi="Arial" w:cs="Arial"/>
          <w:sz w:val="24"/>
          <w:szCs w:val="24"/>
        </w:rPr>
        <w:t>What matters is that there be a link between the location and purpose of the search and the grounds for the arrest: </w:t>
      </w:r>
      <w:r w:rsidRPr="00BB3634">
        <w:rPr>
          <w:rFonts w:ascii="Arial" w:hAnsi="Arial" w:cs="Arial"/>
          <w:color w:val="000000"/>
          <w:sz w:val="24"/>
          <w:szCs w:val="24"/>
        </w:rPr>
        <w:t>A search incident to arrest may include a search of an automobile of which the arrested person is in possession, but the scope of that search will depend on several factors: </w:t>
      </w:r>
      <w:r w:rsidRPr="00BB3634">
        <w:rPr>
          <w:rFonts w:ascii="Arial" w:hAnsi="Arial" w:cs="Arial"/>
          <w:i/>
          <w:color w:val="000000"/>
          <w:sz w:val="24"/>
          <w:szCs w:val="24"/>
        </w:rPr>
        <w:t xml:space="preserve">Gonzales </w:t>
      </w:r>
      <w:r w:rsidRPr="00BB3634">
        <w:rPr>
          <w:rFonts w:ascii="Arial" w:hAnsi="Arial" w:cs="Arial"/>
          <w:color w:val="000000"/>
          <w:sz w:val="24"/>
          <w:szCs w:val="24"/>
        </w:rPr>
        <w:t xml:space="preserve">at para 99 </w:t>
      </w:r>
      <w:r w:rsidRPr="00BB3634">
        <w:rPr>
          <w:rFonts w:ascii="Arial" w:hAnsi="Arial" w:cs="Arial"/>
          <w:i/>
          <w:sz w:val="24"/>
          <w:szCs w:val="24"/>
        </w:rPr>
        <w:t>R v Fearon</w:t>
      </w:r>
      <w:r w:rsidRPr="00BB3634">
        <w:rPr>
          <w:rFonts w:ascii="Arial" w:hAnsi="Arial" w:cs="Arial"/>
          <w:sz w:val="24"/>
          <w:szCs w:val="24"/>
        </w:rPr>
        <w:t xml:space="preserve">, </w:t>
      </w:r>
      <w:hyperlink r:id="rId166" w:history="1">
        <w:r w:rsidRPr="00BB3634">
          <w:rPr>
            <w:rStyle w:val="Hyperlink"/>
            <w:rFonts w:ascii="Arial" w:hAnsi="Arial" w:cs="Arial"/>
            <w:sz w:val="24"/>
            <w:szCs w:val="24"/>
          </w:rPr>
          <w:t>2017 SCC 77</w:t>
        </w:r>
      </w:hyperlink>
      <w:r w:rsidRPr="00BB3634">
        <w:rPr>
          <w:rFonts w:ascii="Arial" w:hAnsi="Arial" w:cs="Arial"/>
          <w:sz w:val="24"/>
          <w:szCs w:val="24"/>
        </w:rPr>
        <w:t xml:space="preserve"> at paras. 22, 25</w:t>
      </w:r>
    </w:p>
    <w:p w14:paraId="13E2EE8D" w14:textId="40723BEE" w:rsidR="00B022DD" w:rsidRPr="00BB3634" w:rsidRDefault="00B022DD" w:rsidP="00BB3634">
      <w:pPr>
        <w:pStyle w:val="aparanumbering"/>
        <w:spacing w:line="276" w:lineRule="auto"/>
        <w:jc w:val="both"/>
        <w:rPr>
          <w:rFonts w:ascii="Arial" w:hAnsi="Arial" w:cs="Arial"/>
          <w:sz w:val="24"/>
          <w:szCs w:val="24"/>
        </w:rPr>
      </w:pPr>
      <w:r w:rsidRPr="00BB3634">
        <w:rPr>
          <w:rFonts w:ascii="Arial" w:hAnsi="Arial" w:cs="Arial"/>
          <w:sz w:val="24"/>
          <w:szCs w:val="24"/>
        </w:rPr>
        <w:t xml:space="preserve">For analysis on warrantless search of camera pen and admissibility of the evidence, see </w:t>
      </w:r>
      <w:r w:rsidRPr="00BB3634">
        <w:rPr>
          <w:rFonts w:ascii="Arial" w:hAnsi="Arial" w:cs="Arial"/>
          <w:i/>
          <w:sz w:val="24"/>
          <w:szCs w:val="24"/>
        </w:rPr>
        <w:t xml:space="preserve">R v Jarvis, </w:t>
      </w:r>
      <w:hyperlink r:id="rId167" w:history="1">
        <w:r w:rsidRPr="00BB3634">
          <w:rPr>
            <w:rStyle w:val="Hyperlink"/>
            <w:rFonts w:ascii="Arial" w:hAnsi="Arial" w:cs="Arial"/>
            <w:sz w:val="24"/>
            <w:szCs w:val="24"/>
          </w:rPr>
          <w:t>2017 ONCA 778</w:t>
        </w:r>
      </w:hyperlink>
    </w:p>
    <w:p w14:paraId="5D16ADC1" w14:textId="080DAEE5" w:rsidR="0022691C" w:rsidRPr="00BB3634" w:rsidRDefault="0022691C" w:rsidP="000B18E5">
      <w:pPr>
        <w:pStyle w:val="NoSpacing"/>
      </w:pPr>
    </w:p>
    <w:p w14:paraId="481C3834" w14:textId="6002758A" w:rsidR="003A0766" w:rsidRDefault="003A0766" w:rsidP="007A6720">
      <w:pPr>
        <w:pStyle w:val="Heading3"/>
      </w:pPr>
      <w:bookmarkStart w:id="60" w:name="_Toc94360141"/>
      <w:r>
        <w:t>Search Incident to Arrest in a Home</w:t>
      </w:r>
      <w:bookmarkEnd w:id="60"/>
    </w:p>
    <w:p w14:paraId="59640CDE" w14:textId="6E4E8367" w:rsidR="003A0766" w:rsidRDefault="003A0766" w:rsidP="003A0766">
      <w:pPr>
        <w:rPr>
          <w:lang w:val="en-US"/>
        </w:rPr>
      </w:pPr>
    </w:p>
    <w:p w14:paraId="5513EFB1" w14:textId="03C21361" w:rsidR="003A0766" w:rsidRDefault="0080724E" w:rsidP="000B18E5">
      <w:pPr>
        <w:pStyle w:val="NoSpacing"/>
      </w:pPr>
      <w:r>
        <w:t>W</w:t>
      </w:r>
      <w:r w:rsidR="003A0766" w:rsidRPr="003A0766">
        <w:t>hen the police are present in a residence without judicial authorization, it may well be that the full panoply of police powers that are typically available under the search incident to arrest doctrine are not available with the same force as they would otherwise be. In particular, it may be that a search for evidence that may be permitted outside of the residence, would not be permitted in this situation: </w:t>
      </w:r>
      <w:r>
        <w:rPr>
          <w:i/>
        </w:rPr>
        <w:t xml:space="preserve">R v Stairs, </w:t>
      </w:r>
      <w:hyperlink r:id="rId168" w:history="1">
        <w:r w:rsidRPr="0080724E">
          <w:rPr>
            <w:rStyle w:val="Hyperlink"/>
          </w:rPr>
          <w:t>2020 ONCA 678</w:t>
        </w:r>
      </w:hyperlink>
      <w:r>
        <w:t>, at paras 58-60</w:t>
      </w:r>
    </w:p>
    <w:p w14:paraId="3BC9A239" w14:textId="77777777" w:rsidR="0080724E" w:rsidRPr="0080724E" w:rsidRDefault="0080724E" w:rsidP="000B18E5">
      <w:pPr>
        <w:pStyle w:val="NoSpacing"/>
      </w:pPr>
    </w:p>
    <w:p w14:paraId="0FFB2E88" w14:textId="0D1C9E57" w:rsidR="000970F9" w:rsidRPr="00BB3634" w:rsidRDefault="000970F9" w:rsidP="007A6720">
      <w:pPr>
        <w:pStyle w:val="Heading3"/>
      </w:pPr>
      <w:bookmarkStart w:id="61" w:name="_Toc94360142"/>
      <w:r w:rsidRPr="00BB3634">
        <w:t>Cars</w:t>
      </w:r>
      <w:bookmarkEnd w:id="61"/>
    </w:p>
    <w:p w14:paraId="36BC19EC" w14:textId="693B54E3" w:rsidR="000970F9" w:rsidRPr="00BB3634" w:rsidRDefault="000970F9" w:rsidP="00BB3634">
      <w:pPr>
        <w:spacing w:line="276" w:lineRule="auto"/>
        <w:rPr>
          <w:rFonts w:ascii="Arial" w:hAnsi="Arial" w:cs="Arial"/>
          <w:lang w:val="en-US"/>
        </w:rPr>
      </w:pPr>
    </w:p>
    <w:p w14:paraId="2BE63D23" w14:textId="3F42B10A" w:rsidR="000970F9" w:rsidRPr="00BB3634" w:rsidRDefault="000970F9" w:rsidP="000B18E5">
      <w:pPr>
        <w:pStyle w:val="NoSpacing"/>
      </w:pPr>
      <w:r w:rsidRPr="00BB3634">
        <w:t xml:space="preserve">In </w:t>
      </w:r>
      <w:r w:rsidRPr="00BB3634">
        <w:rPr>
          <w:i/>
        </w:rPr>
        <w:t xml:space="preserve">Stonefish, </w:t>
      </w:r>
      <w:r w:rsidRPr="00BB3634">
        <w:t xml:space="preserve">the Court of Appeal held that it was reasonable to search the trunk incident to an arrest of simple possession of marijuana in a grinder in the car: “The fact that there was a small amount of marijuana in the cup holder led quite naturally to a search for more marijuana elsewhere in the car:” </w:t>
      </w:r>
      <w:hyperlink r:id="rId169" w:history="1">
        <w:r w:rsidRPr="00BB3634">
          <w:rPr>
            <w:rStyle w:val="Hyperlink"/>
          </w:rPr>
          <w:t>2019 ONCA 914</w:t>
        </w:r>
      </w:hyperlink>
      <w:r w:rsidRPr="00BB3634">
        <w:t xml:space="preserve"> </w:t>
      </w:r>
    </w:p>
    <w:p w14:paraId="7C8E917D" w14:textId="047065D8" w:rsidR="001771AA" w:rsidRPr="00BB3634" w:rsidRDefault="001771AA" w:rsidP="000B18E5">
      <w:pPr>
        <w:pStyle w:val="NoSpacing"/>
      </w:pPr>
    </w:p>
    <w:p w14:paraId="09E901DD" w14:textId="5D44A4AA" w:rsidR="001771AA" w:rsidRPr="00BB3634" w:rsidRDefault="001771AA" w:rsidP="000B18E5">
      <w:pPr>
        <w:pStyle w:val="NoSpacing"/>
      </w:pPr>
      <w:r w:rsidRPr="00BB3634">
        <w:lastRenderedPageBreak/>
        <w:t xml:space="preserve">There are circumstances when the police arrest a person in a vehicle in which the police are authorized, indeed required, to take control of, and responsibility for the vehicle and its contents. In those circumstances, the police are also sometimes authorized to itemize and secure the contents of the vehicle: </w:t>
      </w:r>
      <w:r w:rsidRPr="00BB3634">
        <w:rPr>
          <w:i/>
        </w:rPr>
        <w:t xml:space="preserve">R v Santana, </w:t>
      </w:r>
      <w:hyperlink r:id="rId170" w:history="1">
        <w:r w:rsidRPr="00BB3634">
          <w:rPr>
            <w:rStyle w:val="Hyperlink"/>
          </w:rPr>
          <w:t>2020 ONCA 365</w:t>
        </w:r>
      </w:hyperlink>
      <w:r w:rsidRPr="00BB3634">
        <w:t>, at para 32</w:t>
      </w:r>
    </w:p>
    <w:p w14:paraId="4AF92253" w14:textId="77777777" w:rsidR="001771AA" w:rsidRPr="00BB3634" w:rsidRDefault="001771AA" w:rsidP="00BB3634">
      <w:pPr>
        <w:spacing w:line="276" w:lineRule="auto"/>
        <w:rPr>
          <w:rFonts w:ascii="Arial" w:hAnsi="Arial" w:cs="Arial"/>
        </w:rPr>
      </w:pPr>
    </w:p>
    <w:p w14:paraId="6262177D" w14:textId="77777777" w:rsidR="00BB3634" w:rsidRPr="00BB3634" w:rsidRDefault="00BB3634" w:rsidP="00BB3634">
      <w:pPr>
        <w:spacing w:line="276" w:lineRule="auto"/>
        <w:rPr>
          <w:rFonts w:ascii="Arial" w:hAnsi="Arial" w:cs="Arial"/>
          <w:lang w:val="en-US"/>
        </w:rPr>
      </w:pPr>
    </w:p>
    <w:p w14:paraId="4B3B1E14" w14:textId="04B076CA" w:rsidR="0022691C" w:rsidRPr="00BB3634" w:rsidRDefault="0022691C" w:rsidP="007A6720">
      <w:pPr>
        <w:pStyle w:val="Heading3"/>
      </w:pPr>
      <w:bookmarkStart w:id="62" w:name="_Toc94360143"/>
      <w:r w:rsidRPr="00BB3634">
        <w:t>Post-Seizure Supervision</w:t>
      </w:r>
      <w:bookmarkEnd w:id="62"/>
    </w:p>
    <w:p w14:paraId="24B2092C" w14:textId="77777777" w:rsidR="0022691C" w:rsidRPr="00BB3634" w:rsidRDefault="0022691C" w:rsidP="000B18E5">
      <w:pPr>
        <w:pStyle w:val="NoSpacing"/>
      </w:pPr>
    </w:p>
    <w:p w14:paraId="35FDB969" w14:textId="77777777" w:rsidR="0022691C" w:rsidRPr="00BB3634" w:rsidRDefault="0022691C" w:rsidP="000B18E5">
      <w:pPr>
        <w:pStyle w:val="NoSpacing"/>
      </w:pPr>
      <w:r w:rsidRPr="00BB3634">
        <w:t>Section 489.1(1) applies to seizures made by peace officers as a result of searches incident to arrest.  Where the thing seized is not being returned to the person lawfully entitled to possess it, s. 489.1(1)(b)(ii) requires the seizing officer, as soon as it is practicable to do so, to report to a justice that she or he has seized something and is detaining it to be dealt with by the justice under s. 490(1).</w:t>
      </w:r>
    </w:p>
    <w:p w14:paraId="61BECA4F" w14:textId="77777777" w:rsidR="0022691C" w:rsidRPr="00BB3634" w:rsidRDefault="0022691C" w:rsidP="000B18E5">
      <w:pPr>
        <w:pStyle w:val="NoSpacing"/>
      </w:pPr>
    </w:p>
    <w:p w14:paraId="6F641861" w14:textId="77777777" w:rsidR="0022691C" w:rsidRPr="00BB3634" w:rsidRDefault="0022691C" w:rsidP="000B18E5">
      <w:pPr>
        <w:pStyle w:val="NoSpacing"/>
      </w:pPr>
      <w:r w:rsidRPr="00BB3634">
        <w:t>The </w:t>
      </w:r>
      <w:r w:rsidRPr="00BB3634">
        <w:rPr>
          <w:i/>
        </w:rPr>
        <w:t>Report to a Justice</w:t>
      </w:r>
      <w:r w:rsidRPr="00BB3634">
        <w:t> must be in a statutory form – Form 5.2. This form must describe the authority under which the seizure was made; the thing that was seized; and where, how or where applicable by whom it is being detained. The officer who files the report must date and sign it.</w:t>
      </w:r>
    </w:p>
    <w:p w14:paraId="6E083FB7" w14:textId="77777777" w:rsidR="0022691C" w:rsidRPr="00BB3634" w:rsidRDefault="0022691C" w:rsidP="000B18E5">
      <w:pPr>
        <w:pStyle w:val="NoSpacing"/>
      </w:pPr>
    </w:p>
    <w:p w14:paraId="4D8140B2" w14:textId="77777777" w:rsidR="0022691C" w:rsidRPr="00BB3634" w:rsidRDefault="0022691C" w:rsidP="000B18E5">
      <w:pPr>
        <w:pStyle w:val="NoSpacing"/>
      </w:pPr>
      <w:r w:rsidRPr="00BB3634">
        <w:t>The reporting requirement of s. 489.1(1)(b)(ii) provides a link to s. 490(1) and ensures long-term post-seizure supervision of the things seized by a judicial officer: </w:t>
      </w:r>
      <w:r w:rsidRPr="00BB3634">
        <w:rPr>
          <w:i/>
        </w:rPr>
        <w:t>R. v. Garcia-Machado</w:t>
      </w:r>
      <w:r w:rsidRPr="00BB3634">
        <w:t>, 2015 ONCA 569 at paras. 15-16.</w:t>
      </w:r>
    </w:p>
    <w:p w14:paraId="729BD82F" w14:textId="77777777" w:rsidR="0022691C" w:rsidRPr="00BB3634" w:rsidRDefault="0022691C" w:rsidP="000B18E5">
      <w:pPr>
        <w:pStyle w:val="NoSpacing"/>
      </w:pPr>
    </w:p>
    <w:p w14:paraId="5FC17603" w14:textId="77777777" w:rsidR="0022691C" w:rsidRPr="00BB3634" w:rsidRDefault="0022691C" w:rsidP="000B18E5">
      <w:pPr>
        <w:pStyle w:val="NoSpacing"/>
      </w:pPr>
      <w:r w:rsidRPr="00BB3634">
        <w:t>Failure to file a </w:t>
      </w:r>
      <w:r w:rsidRPr="00BB3634">
        <w:rPr>
          <w:i/>
        </w:rPr>
        <w:t>Report to a Justice</w:t>
      </w:r>
      <w:r w:rsidRPr="00BB3634">
        <w:t> in Form 5.2 means that no post-seizure supervision of the thing seized will take place: </w:t>
      </w:r>
      <w:r w:rsidRPr="00BB3634">
        <w:rPr>
          <w:i/>
        </w:rPr>
        <w:t>Garcia-Machado</w:t>
      </w:r>
      <w:r w:rsidRPr="00BB3634">
        <w:t>, at para. 16. But failure to file a </w:t>
      </w:r>
      <w:r w:rsidRPr="00BB3634">
        <w:rPr>
          <w:i/>
        </w:rPr>
        <w:t>Report to a Justice</w:t>
      </w:r>
      <w:r w:rsidRPr="00BB3634">
        <w:t> as soon as practicable after a thing has been seized also has a constitutional dimension: the continued detention constitutes a breach of s. 8 of the </w:t>
      </w:r>
      <w:r w:rsidRPr="00BB3634">
        <w:rPr>
          <w:i/>
        </w:rPr>
        <w:t>Charter</w:t>
      </w:r>
      <w:r w:rsidRPr="00BB3634">
        <w:t>: </w:t>
      </w:r>
      <w:r w:rsidRPr="00BB3634">
        <w:rPr>
          <w:i/>
        </w:rPr>
        <w:t>Garcia-Machado</w:t>
      </w:r>
      <w:r w:rsidRPr="00BB3634">
        <w:t>, at paras. 44-48.</w:t>
      </w:r>
    </w:p>
    <w:p w14:paraId="1BD94382" w14:textId="77777777" w:rsidR="0022691C" w:rsidRPr="00BB3634" w:rsidRDefault="0022691C" w:rsidP="000B18E5">
      <w:pPr>
        <w:pStyle w:val="NoSpacing"/>
      </w:pPr>
    </w:p>
    <w:p w14:paraId="78FF93B6" w14:textId="77777777" w:rsidR="0022691C" w:rsidRPr="00BB3634" w:rsidRDefault="0022691C" w:rsidP="000B18E5">
      <w:pPr>
        <w:pStyle w:val="NoSpacing"/>
      </w:pPr>
      <w:r w:rsidRPr="00BB3634">
        <w:t>Neither section 489.1 nor Form 5.2 has anything to say about how the report is to be provided to a justice. The </w:t>
      </w:r>
      <w:r w:rsidRPr="00BB3634">
        <w:rPr>
          <w:i/>
        </w:rPr>
        <w:t>Report</w:t>
      </w:r>
      <w:r w:rsidRPr="00BB3634">
        <w:t> requires the signature of the peace officer who submits it, but does not require or provide space for a justice to sign the report to acknowledge its receipt, endorse a disposition or advise the submitting officer of either event.</w:t>
      </w:r>
    </w:p>
    <w:p w14:paraId="7FD2A3E0" w14:textId="77777777" w:rsidR="0022691C" w:rsidRPr="00BB3634" w:rsidRDefault="0022691C" w:rsidP="000B18E5">
      <w:pPr>
        <w:pStyle w:val="NoSpacing"/>
      </w:pPr>
    </w:p>
    <w:p w14:paraId="4EE5C4D5" w14:textId="77777777" w:rsidR="0022691C" w:rsidRPr="00BB3634" w:rsidRDefault="0022691C" w:rsidP="000B18E5">
      <w:pPr>
        <w:pStyle w:val="NoSpacing"/>
      </w:pPr>
      <w:r w:rsidRPr="00BB3634">
        <w:t xml:space="preserve">Section 490 governs extended detention of seized items. Section 490(2) requires notice to the person from whom a thing has been seized if the thing has been </w:t>
      </w:r>
      <w:r w:rsidRPr="00BB3634">
        <w:lastRenderedPageBreak/>
        <w:t>detained more than three months from the date of seizure. Neither the section nor any other </w:t>
      </w:r>
      <w:r w:rsidRPr="00BB3634">
        <w:rPr>
          <w:i/>
        </w:rPr>
        <w:t>Code </w:t>
      </w:r>
      <w:r w:rsidRPr="00BB3634">
        <w:t xml:space="preserve">provision prescribes a form for the notice, although s. 490(2)(a) describes the procedure as a "summary application". But one thing is clear: while the provision provides the opportunity, no obligation is imposed upon the person from whom the thing was seized to take any steps for its recovery: </w:t>
      </w:r>
      <w:r w:rsidRPr="00BB3634">
        <w:rPr>
          <w:i/>
        </w:rPr>
        <w:t xml:space="preserve">R v Tsekouras, </w:t>
      </w:r>
      <w:hyperlink r:id="rId171" w:history="1">
        <w:r w:rsidRPr="00BB3634">
          <w:rPr>
            <w:rStyle w:val="Hyperlink"/>
          </w:rPr>
          <w:t>2017 ONCA 290</w:t>
        </w:r>
      </w:hyperlink>
      <w:r w:rsidRPr="00BB3634">
        <w:t xml:space="preserve"> at paras 95-100.</w:t>
      </w:r>
    </w:p>
    <w:p w14:paraId="4A14BDF9" w14:textId="77777777" w:rsidR="0022691C" w:rsidRPr="00BB3634" w:rsidRDefault="0022691C" w:rsidP="000B18E5">
      <w:pPr>
        <w:pStyle w:val="NoSpacing"/>
      </w:pPr>
    </w:p>
    <w:p w14:paraId="07944DCE" w14:textId="77777777" w:rsidR="002A4576" w:rsidRPr="00BB3634" w:rsidRDefault="002A4576" w:rsidP="000B18E5">
      <w:pPr>
        <w:pStyle w:val="NoSpacing"/>
      </w:pPr>
    </w:p>
    <w:p w14:paraId="3B7EACD4" w14:textId="4A9DECFC" w:rsidR="002A4576" w:rsidRPr="00BB3634" w:rsidRDefault="002A4576" w:rsidP="007A6720">
      <w:pPr>
        <w:pStyle w:val="Heading3"/>
      </w:pPr>
      <w:bookmarkStart w:id="63" w:name="_Toc94360144"/>
      <w:r w:rsidRPr="00BB3634">
        <w:t>Cellphones</w:t>
      </w:r>
      <w:bookmarkEnd w:id="63"/>
    </w:p>
    <w:p w14:paraId="05B90594" w14:textId="77777777" w:rsidR="002A4576" w:rsidRPr="00BB3634" w:rsidRDefault="002A4576" w:rsidP="000B18E5">
      <w:pPr>
        <w:pStyle w:val="NoSpacing"/>
      </w:pPr>
    </w:p>
    <w:p w14:paraId="5D6A6F62" w14:textId="66C44EE2" w:rsidR="00AF77AC" w:rsidRPr="00BB3634" w:rsidRDefault="00AF77AC" w:rsidP="000B18E5">
      <w:pPr>
        <w:pStyle w:val="NoSpacing"/>
      </w:pPr>
      <w:r w:rsidRPr="00BB3634">
        <w:rPr>
          <w:i/>
        </w:rPr>
        <w:t xml:space="preserve">Excerpts from R v Tsekouros, </w:t>
      </w:r>
      <w:hyperlink r:id="rId172" w:history="1">
        <w:r w:rsidRPr="00BB3634">
          <w:rPr>
            <w:rStyle w:val="Hyperlink"/>
          </w:rPr>
          <w:t>2017 ONCA 290</w:t>
        </w:r>
      </w:hyperlink>
      <w:r w:rsidRPr="00BB3634">
        <w:t xml:space="preserve"> at paras 84-94</w:t>
      </w:r>
    </w:p>
    <w:p w14:paraId="4AAA8DAF" w14:textId="77777777" w:rsidR="00AF77AC" w:rsidRPr="00BB3634" w:rsidRDefault="00AF77AC" w:rsidP="000B18E5">
      <w:pPr>
        <w:pStyle w:val="NoSpacing"/>
      </w:pPr>
    </w:p>
    <w:p w14:paraId="7731321A" w14:textId="6DB67016" w:rsidR="002A4576" w:rsidRPr="00BB3634" w:rsidRDefault="002A4576" w:rsidP="000B18E5">
      <w:pPr>
        <w:pStyle w:val="NoSpacing"/>
      </w:pPr>
      <w:r w:rsidRPr="00BB3634">
        <w:t>A cellphone may be searched incident to arrest, provided what is searched and how the search is conducted are strictly incidental to the arrest and the police keep detailed notes of what has been searched and why: </w:t>
      </w:r>
      <w:r w:rsidR="00832A77" w:rsidRPr="00BB3634">
        <w:rPr>
          <w:i/>
        </w:rPr>
        <w:t>R v Fearon</w:t>
      </w:r>
      <w:r w:rsidR="00832A77" w:rsidRPr="00BB3634">
        <w:t xml:space="preserve">, </w:t>
      </w:r>
      <w:hyperlink r:id="rId173" w:history="1">
        <w:r w:rsidR="00832A77" w:rsidRPr="00BB3634">
          <w:rPr>
            <w:rStyle w:val="Hyperlink"/>
          </w:rPr>
          <w:t>2017 SCC 77</w:t>
        </w:r>
      </w:hyperlink>
      <w:r w:rsidR="00832A77" w:rsidRPr="00BB3634">
        <w:t xml:space="preserve"> </w:t>
      </w:r>
      <w:r w:rsidRPr="00BB3634">
        <w:t>at para. 4. The search must be truly incidental to the arrest, that is to say, exercised in the pursuit of a valid purpose related to the proper administration of justice: </w:t>
      </w:r>
      <w:r w:rsidRPr="00BB3634">
        <w:rPr>
          <w:i/>
        </w:rPr>
        <w:t>Fearon</w:t>
      </w:r>
      <w:r w:rsidRPr="00BB3634">
        <w:t>, at paras. 16 and 21.</w:t>
      </w:r>
    </w:p>
    <w:p w14:paraId="4B7F995D" w14:textId="77777777" w:rsidR="0075676A" w:rsidRPr="00BB3634" w:rsidRDefault="0075676A" w:rsidP="000B18E5">
      <w:pPr>
        <w:pStyle w:val="NoSpacing"/>
      </w:pPr>
    </w:p>
    <w:p w14:paraId="518804AC" w14:textId="44944225" w:rsidR="002A4576" w:rsidRPr="00BB3634" w:rsidRDefault="002A4576" w:rsidP="000B18E5">
      <w:pPr>
        <w:pStyle w:val="NoSpacing"/>
      </w:pPr>
      <w:r w:rsidRPr="00BB3634">
        <w:t>The scope of the search of a cellphone or similar device incident to arrest must be tailored to the purpose for which it may lawfully be conducted. Not only the nature, but also the extent of the search performed on the cellphone or similar device must be truly incidental to the particular arrest for the particular offence. As a general rule, therefore, only recently sent or drafted emails, texts, photos and the call log may be examined: </w:t>
      </w:r>
      <w:r w:rsidRPr="00BB3634">
        <w:rPr>
          <w:i/>
        </w:rPr>
        <w:t>Fearon</w:t>
      </w:r>
      <w:r w:rsidRPr="00BB3634">
        <w:t xml:space="preserve">, at para. 76. </w:t>
      </w:r>
    </w:p>
    <w:p w14:paraId="06BA6BB9" w14:textId="77777777" w:rsidR="002A4576" w:rsidRPr="00BB3634" w:rsidRDefault="002A4576" w:rsidP="000B18E5">
      <w:pPr>
        <w:pStyle w:val="NoSpacing"/>
      </w:pPr>
    </w:p>
    <w:p w14:paraId="6A28287A" w14:textId="5931D2FE" w:rsidR="002A4576" w:rsidRPr="00BB3634" w:rsidRDefault="00C236E1" w:rsidP="000B18E5">
      <w:pPr>
        <w:pStyle w:val="NoSpacing"/>
      </w:pPr>
      <w:r w:rsidRPr="00BB3634">
        <w:t>The searches must be done promptly to effectively serve their purpose, such as the discovery of evidence: </w:t>
      </w:r>
      <w:r w:rsidRPr="00BB3634">
        <w:rPr>
          <w:i/>
        </w:rPr>
        <w:t>Fearon</w:t>
      </w:r>
      <w:r w:rsidRPr="00BB3634">
        <w:t>, at para. 75. However, c</w:t>
      </w:r>
      <w:r w:rsidR="002A4576" w:rsidRPr="00BB3634">
        <w:t>ellphone searches incident to arrest are not routinely permitted simply for the purpose of discovering additional evidence. A cellphone or similar device search incident to arrest for the purpose of discovering evidence is only a valid law enforcement objective when the investigation will be stymied or significantly hampered without the ability to search the device incident to arrest. Investigators must be able to explain why it was not practical, in all the circumstances of the investigation, to postpone the search until they could obtain a warrant: </w:t>
      </w:r>
      <w:r w:rsidR="002A4576" w:rsidRPr="00BB3634">
        <w:rPr>
          <w:i/>
        </w:rPr>
        <w:t>Fearon</w:t>
      </w:r>
      <w:r w:rsidR="002A4576" w:rsidRPr="00BB3634">
        <w:t>, at para. 80.</w:t>
      </w:r>
    </w:p>
    <w:p w14:paraId="67785215" w14:textId="77777777" w:rsidR="00C236E1" w:rsidRPr="00BB3634" w:rsidRDefault="00C236E1" w:rsidP="000B18E5">
      <w:pPr>
        <w:pStyle w:val="NoSpacing"/>
      </w:pPr>
    </w:p>
    <w:p w14:paraId="21A5C30A" w14:textId="0DF1DA7B" w:rsidR="002A4576" w:rsidRPr="00BB3634" w:rsidRDefault="002A4576" w:rsidP="000B18E5">
      <w:pPr>
        <w:pStyle w:val="NoSpacing"/>
      </w:pPr>
      <w:r w:rsidRPr="00BB3634">
        <w:t xml:space="preserve">Officers executing the search must make detailed notes of what they have examined on the device and how it was searched. The applications searched, </w:t>
      </w:r>
      <w:r w:rsidRPr="00BB3634">
        <w:lastRenderedPageBreak/>
        <w:t>the extent and time of the search. Its purpose and duration. See, </w:t>
      </w:r>
      <w:r w:rsidRPr="00BB3634">
        <w:rPr>
          <w:i/>
        </w:rPr>
        <w:t>Fearon</w:t>
      </w:r>
      <w:r w:rsidRPr="00BB3634">
        <w:t>, at para. 82.</w:t>
      </w:r>
    </w:p>
    <w:p w14:paraId="75028C83" w14:textId="77777777" w:rsidR="00C95CD7" w:rsidRPr="00BB3634" w:rsidRDefault="00C95CD7" w:rsidP="000B18E5">
      <w:pPr>
        <w:pStyle w:val="NoSpacing"/>
      </w:pPr>
    </w:p>
    <w:p w14:paraId="1066FD18" w14:textId="0B29757A" w:rsidR="0022691C" w:rsidRPr="00BB3634" w:rsidRDefault="00FF734E" w:rsidP="000B18E5">
      <w:pPr>
        <w:pStyle w:val="NoSpacing"/>
      </w:pPr>
      <w:r w:rsidRPr="00BB3634">
        <w:t xml:space="preserve">In </w:t>
      </w:r>
      <w:r w:rsidRPr="00BB3634">
        <w:rPr>
          <w:i/>
        </w:rPr>
        <w:t xml:space="preserve">Balendra, </w:t>
      </w:r>
      <w:r w:rsidRPr="00BB3634">
        <w:t xml:space="preserve">the Court of Appeal held that the strict test of “truly incidental to arrest” laid out in </w:t>
      </w:r>
      <w:r w:rsidRPr="00BB3634">
        <w:rPr>
          <w:i/>
        </w:rPr>
        <w:t xml:space="preserve">Fearon </w:t>
      </w:r>
      <w:r w:rsidRPr="00BB3634">
        <w:t xml:space="preserve">applied to the search of a USB key found in the appellant’s pocket incidental to his arrest: </w:t>
      </w:r>
      <w:hyperlink r:id="rId174" w:history="1">
        <w:r w:rsidRPr="00BB3634">
          <w:rPr>
            <w:rStyle w:val="Hyperlink"/>
          </w:rPr>
          <w:t>2019 ONCA 68</w:t>
        </w:r>
      </w:hyperlink>
      <w:r w:rsidRPr="00BB3634">
        <w:t>, at paras 44-48</w:t>
      </w:r>
    </w:p>
    <w:p w14:paraId="508C8D48" w14:textId="6C23F831" w:rsidR="005956AC" w:rsidRPr="00BB3634" w:rsidRDefault="005956AC" w:rsidP="000B18E5">
      <w:pPr>
        <w:pStyle w:val="NoSpacing"/>
      </w:pPr>
    </w:p>
    <w:p w14:paraId="3AF55A6D" w14:textId="77777777" w:rsidR="005956AC" w:rsidRPr="00BB3634" w:rsidRDefault="005956AC" w:rsidP="000B18E5">
      <w:pPr>
        <w:pStyle w:val="NoSpacing"/>
      </w:pPr>
    </w:p>
    <w:p w14:paraId="30D9690F" w14:textId="486A2012" w:rsidR="0022691C" w:rsidRPr="00BB3634" w:rsidRDefault="0022691C" w:rsidP="00BB3634">
      <w:pPr>
        <w:pStyle w:val="Heading2"/>
        <w:spacing w:line="276" w:lineRule="auto"/>
        <w:rPr>
          <w:rFonts w:cs="Arial"/>
        </w:rPr>
      </w:pPr>
      <w:bookmarkStart w:id="64" w:name="_Toc94360145"/>
      <w:r w:rsidRPr="00BB3634">
        <w:rPr>
          <w:rFonts w:cs="Arial"/>
        </w:rPr>
        <w:t>Strip Searches</w:t>
      </w:r>
      <w:bookmarkEnd w:id="64"/>
    </w:p>
    <w:p w14:paraId="44C97DEA" w14:textId="46666D78" w:rsidR="00B66E7B" w:rsidRPr="00BB3634" w:rsidRDefault="00B66E7B" w:rsidP="000B18E5">
      <w:pPr>
        <w:pStyle w:val="NoSpacing"/>
      </w:pPr>
      <w:r w:rsidRPr="00BB3634">
        <w:t xml:space="preserve">A strip search is defined as “the removal or rearrangement of some or all of the clothing of a person so as to permit a visual inspection of a person’s private areas, namely genitals, buttocks, breasts (in the case of a female), or undergarments: </w:t>
      </w:r>
      <w:r w:rsidRPr="00BB3634">
        <w:rPr>
          <w:i/>
        </w:rPr>
        <w:t xml:space="preserve">R v Pilon, </w:t>
      </w:r>
      <w:hyperlink r:id="rId175" w:history="1">
        <w:r w:rsidRPr="00BB3634">
          <w:rPr>
            <w:rStyle w:val="Hyperlink"/>
          </w:rPr>
          <w:t>2018 ONCA 959</w:t>
        </w:r>
      </w:hyperlink>
      <w:r w:rsidRPr="00BB3634">
        <w:t>, at para</w:t>
      </w:r>
      <w:r w:rsidR="001D315E" w:rsidRPr="00BB3634">
        <w:t>s</w:t>
      </w:r>
      <w:r w:rsidRPr="00BB3634">
        <w:t xml:space="preserve"> 13</w:t>
      </w:r>
      <w:r w:rsidR="001D315E" w:rsidRPr="00BB3634">
        <w:t>, 28</w:t>
      </w:r>
    </w:p>
    <w:p w14:paraId="0227F62A" w14:textId="77777777" w:rsidR="00B66E7B" w:rsidRPr="00BB3634" w:rsidRDefault="00B66E7B" w:rsidP="000B18E5">
      <w:pPr>
        <w:pStyle w:val="NoSpacing"/>
      </w:pPr>
    </w:p>
    <w:p w14:paraId="5D4A428E" w14:textId="4CFBBD5D" w:rsidR="0022691C" w:rsidRPr="00BB3634" w:rsidRDefault="0022691C" w:rsidP="000B18E5">
      <w:pPr>
        <w:pStyle w:val="NoSpacing"/>
      </w:pPr>
      <w:r w:rsidRPr="00BB3634">
        <w:t>The common law search incident to arrest power includes the authority to conduct a strip search. A strip search must be related to the reasons for the arrest itself. For example, where the arrest is for an offence involving possession of contraband and the purpose of the search is to discover contraband secreted on the arrestee’s person.</w:t>
      </w:r>
    </w:p>
    <w:p w14:paraId="18DBE659" w14:textId="77777777" w:rsidR="0022691C" w:rsidRPr="00BB3634" w:rsidRDefault="0022691C" w:rsidP="000B18E5">
      <w:pPr>
        <w:pStyle w:val="NoSpacing"/>
      </w:pPr>
    </w:p>
    <w:p w14:paraId="3A773F39" w14:textId="36FD3B7F" w:rsidR="0022691C" w:rsidRPr="00BB3634" w:rsidRDefault="0022691C" w:rsidP="000B18E5">
      <w:pPr>
        <w:pStyle w:val="NoSpacing"/>
      </w:pPr>
      <w:r w:rsidRPr="00BB3634">
        <w:t>Strip searches must not be carried out as a matter of routine, an inevitable consequence of every arrest. In addition to the reasonable grounds which must underpin the arrest for it to be lawful, additional reasonable and probable grounds must also justify the strip search. The mere </w:t>
      </w:r>
      <w:r w:rsidRPr="00BB3634">
        <w:rPr>
          <w:i/>
        </w:rPr>
        <w:t>possibility</w:t>
      </w:r>
      <w:r w:rsidRPr="00BB3634">
        <w:t> of an individual concealing evidence is not sufficient to justify a strip search to locate that evidence: </w:t>
      </w:r>
      <w:r w:rsidRPr="00BB3634">
        <w:rPr>
          <w:i/>
        </w:rPr>
        <w:t xml:space="preserve">R v Gonzales, </w:t>
      </w:r>
      <w:hyperlink r:id="rId176" w:history="1">
        <w:r w:rsidRPr="00BB3634">
          <w:rPr>
            <w:rStyle w:val="Hyperlink"/>
          </w:rPr>
          <w:t>2017 ONCA 543</w:t>
        </w:r>
      </w:hyperlink>
      <w:r w:rsidRPr="00BB3634">
        <w:t xml:space="preserve"> at paras 135-139</w:t>
      </w:r>
      <w:r w:rsidR="001667BC" w:rsidRPr="00BB3634">
        <w:t xml:space="preserve">; </w:t>
      </w:r>
      <w:r w:rsidR="001667BC" w:rsidRPr="00BB3634">
        <w:rPr>
          <w:i/>
        </w:rPr>
        <w:t xml:space="preserve">Pilon </w:t>
      </w:r>
      <w:r w:rsidR="001667BC" w:rsidRPr="00BB3634">
        <w:t>at paras 15, 16</w:t>
      </w:r>
    </w:p>
    <w:p w14:paraId="2BE04BE2" w14:textId="77777777" w:rsidR="001667BC" w:rsidRPr="00BB3634" w:rsidRDefault="001667BC" w:rsidP="000B18E5">
      <w:pPr>
        <w:pStyle w:val="NoSpacing"/>
      </w:pPr>
    </w:p>
    <w:p w14:paraId="70F4BF62" w14:textId="51CC01A8" w:rsidR="001667BC" w:rsidRPr="00BB3634" w:rsidRDefault="005E71D9" w:rsidP="000B18E5">
      <w:pPr>
        <w:pStyle w:val="NoSpacing"/>
      </w:pPr>
      <w:r w:rsidRPr="00BB3634">
        <w:t>A</w:t>
      </w:r>
      <w:r w:rsidR="001667BC" w:rsidRPr="00BB3634">
        <w:t>n arrested person’s non-cooperation and resistance does not necessarily entitle the police to engage in behaviour that disregards or compromises his physical and psychological integrity and safety</w:t>
      </w:r>
      <w:r w:rsidRPr="00BB3634">
        <w:t xml:space="preserve">: </w:t>
      </w:r>
      <w:r w:rsidRPr="00BB3634">
        <w:rPr>
          <w:i/>
        </w:rPr>
        <w:t xml:space="preserve">Pilon </w:t>
      </w:r>
      <w:r w:rsidRPr="00BB3634">
        <w:t>at para 16</w:t>
      </w:r>
    </w:p>
    <w:p w14:paraId="1B3A7992" w14:textId="77777777" w:rsidR="001667BC" w:rsidRPr="00BB3634" w:rsidRDefault="001667BC" w:rsidP="000B18E5">
      <w:pPr>
        <w:pStyle w:val="NoSpacing"/>
      </w:pPr>
    </w:p>
    <w:p w14:paraId="432FC8E3" w14:textId="0522EED7" w:rsidR="001667BC" w:rsidRPr="00BB3634" w:rsidRDefault="005E71D9" w:rsidP="000B18E5">
      <w:pPr>
        <w:pStyle w:val="NoSpacing"/>
      </w:pPr>
      <w:r w:rsidRPr="00BB3634">
        <w:t>S</w:t>
      </w:r>
      <w:r w:rsidR="001667BC" w:rsidRPr="00BB3634">
        <w:t>trip searches should be conducted at a police station unless there are exigent circumstances requiring that the detainee be searched prior to being transported to a police station</w:t>
      </w:r>
      <w:r w:rsidRPr="00BB3634">
        <w:t xml:space="preserve">:  </w:t>
      </w:r>
      <w:r w:rsidRPr="00BB3634">
        <w:rPr>
          <w:i/>
        </w:rPr>
        <w:t xml:space="preserve">Pilon </w:t>
      </w:r>
      <w:r w:rsidRPr="00BB3634">
        <w:t>at para 17</w:t>
      </w:r>
    </w:p>
    <w:p w14:paraId="28315F56" w14:textId="77777777" w:rsidR="00ED0540" w:rsidRPr="00BB3634" w:rsidRDefault="00ED0540" w:rsidP="000B18E5">
      <w:pPr>
        <w:pStyle w:val="NoSpacing"/>
      </w:pPr>
    </w:p>
    <w:p w14:paraId="06272DF9" w14:textId="07F7A0DA" w:rsidR="00D53879" w:rsidRPr="00BB3634" w:rsidRDefault="00D53879" w:rsidP="000B18E5">
      <w:pPr>
        <w:pStyle w:val="NoSpacing"/>
      </w:pPr>
      <w:r w:rsidRPr="00BB3634">
        <w:t xml:space="preserve">In </w:t>
      </w:r>
      <w:r w:rsidRPr="00BB3634">
        <w:rPr>
          <w:i/>
        </w:rPr>
        <w:t xml:space="preserve">Gerson-Foster, </w:t>
      </w:r>
      <w:r w:rsidRPr="00BB3634">
        <w:t xml:space="preserve">the Court of Appeal suggested that, even if a strip search </w:t>
      </w:r>
      <w:r w:rsidR="00540791" w:rsidRPr="00BB3634">
        <w:t xml:space="preserve">is </w:t>
      </w:r>
      <w:r w:rsidRPr="00BB3634">
        <w:t xml:space="preserve">otherwise appropriate, a strip search should not be conducted until it is assured </w:t>
      </w:r>
      <w:r w:rsidRPr="00BB3634">
        <w:lastRenderedPageBreak/>
        <w:t>that an accused would be mingling with other prisoners</w:t>
      </w:r>
      <w:r w:rsidR="00540791" w:rsidRPr="00BB3634">
        <w:t xml:space="preserve">. The Court further suggested that custodial searches may be justified for any prisoner, because of the great need to ensure that individuals entering the prison population do not possess concealed weapons or illegal drugs on their person: </w:t>
      </w:r>
      <w:r w:rsidR="00540791" w:rsidRPr="00BB3634">
        <w:rPr>
          <w:i/>
        </w:rPr>
        <w:t xml:space="preserve">R v Gerson-Foster, </w:t>
      </w:r>
      <w:hyperlink r:id="rId177" w:history="1">
        <w:r w:rsidR="00540791" w:rsidRPr="00BB3634">
          <w:rPr>
            <w:rStyle w:val="Hyperlink"/>
          </w:rPr>
          <w:t>2019 ONCA 405</w:t>
        </w:r>
      </w:hyperlink>
      <w:r w:rsidR="00540791" w:rsidRPr="00BB3634">
        <w:t>, at paras 104, 109</w:t>
      </w:r>
    </w:p>
    <w:p w14:paraId="0DDB3907" w14:textId="1AB6DF67" w:rsidR="00540791" w:rsidRPr="00BB3634" w:rsidRDefault="00540791" w:rsidP="000B18E5">
      <w:pPr>
        <w:pStyle w:val="NoSpacing"/>
      </w:pPr>
    </w:p>
    <w:p w14:paraId="56CBE149" w14:textId="77777777" w:rsidR="001667BC" w:rsidRPr="00BB3634" w:rsidRDefault="001667BC" w:rsidP="000B18E5">
      <w:pPr>
        <w:pStyle w:val="NoSpacing"/>
      </w:pPr>
    </w:p>
    <w:p w14:paraId="79EC63B7" w14:textId="7899D2C3" w:rsidR="0068305B" w:rsidRPr="00BB3634" w:rsidRDefault="0068305B" w:rsidP="00BB3634">
      <w:pPr>
        <w:spacing w:line="276" w:lineRule="auto"/>
        <w:rPr>
          <w:rFonts w:ascii="Arial" w:hAnsi="Arial" w:cs="Arial"/>
        </w:rPr>
      </w:pPr>
      <w:r w:rsidRPr="00BB3634">
        <w:rPr>
          <w:rFonts w:ascii="Arial" w:hAnsi="Arial" w:cs="Arial"/>
        </w:rPr>
        <w:t xml:space="preserve">The following guidelines provide a </w:t>
      </w:r>
      <w:r w:rsidRPr="00BB3634">
        <w:rPr>
          <w:rFonts w:ascii="Arial" w:hAnsi="Arial" w:cs="Arial"/>
          <w:color w:val="000000"/>
        </w:rPr>
        <w:t>framework for police in deciding how best to conduct a strip search incident to arrest in compliance with the </w:t>
      </w:r>
      <w:r w:rsidRPr="00BB3634">
        <w:rPr>
          <w:rFonts w:ascii="Arial" w:hAnsi="Arial" w:cs="Arial"/>
          <w:i/>
          <w:iCs/>
          <w:color w:val="000000"/>
        </w:rPr>
        <w:t>Charter</w:t>
      </w:r>
      <w:r w:rsidRPr="00BB3634">
        <w:rPr>
          <w:rFonts w:ascii="Arial" w:hAnsi="Arial" w:cs="Arial"/>
          <w:color w:val="000000"/>
        </w:rPr>
        <w:t>:</w:t>
      </w:r>
    </w:p>
    <w:p w14:paraId="7CBA4EA0"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1. Can the strip search be conducted at the police station and, if not, why not?</w:t>
      </w:r>
    </w:p>
    <w:p w14:paraId="126746BD"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2. Will the strip search be conducted in a manner that ensures the health and safety of all involved?</w:t>
      </w:r>
    </w:p>
    <w:p w14:paraId="1F1188D2"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3. Will the strip search be authorized by a police officer acting in a supervisory capacity?</w:t>
      </w:r>
    </w:p>
    <w:p w14:paraId="7EBA90B0"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4. Has it been ensured that the police officer(s) carrying out the strip search are of the same gender as the individual being searched?</w:t>
      </w:r>
    </w:p>
    <w:p w14:paraId="564DBD2D"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5. Will the number of police officers involved in the search be no more than is reasonably necessary in the circumstances?</w:t>
      </w:r>
    </w:p>
    <w:p w14:paraId="7F5F5052"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6. What is the minimum of force necessary to conduct the strip search?</w:t>
      </w:r>
    </w:p>
    <w:p w14:paraId="069945FD"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7. Will the strip search be carried out in a private area such that no one other than the individuals engaged in the search can observe the search?</w:t>
      </w:r>
    </w:p>
    <w:p w14:paraId="411EB97A"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8. Will the strip search be conducted as quickly as possible and in a way that ensures that the person is not completely undressed at any one time?</w:t>
      </w:r>
    </w:p>
    <w:p w14:paraId="52BE4A7F"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9. Will the strip search involve only a visual inspection of the arrestee’s genital and anal areas without any physical contact?</w:t>
      </w:r>
    </w:p>
    <w:p w14:paraId="693CC76C" w14:textId="77777777" w:rsidR="0068305B" w:rsidRPr="00BB3634" w:rsidRDefault="0068305B" w:rsidP="00BB3634">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lastRenderedPageBreak/>
        <w:t>10. If the visual inspection reveals the presence of a weapon or evidence in a body cavity (not including the mouth), will the detainee be given the option of removing the object himself or of having the object removed by a trained medical professional?</w:t>
      </w:r>
    </w:p>
    <w:p w14:paraId="3D670522" w14:textId="1B68C9C2" w:rsidR="0068305B" w:rsidRPr="002540AB" w:rsidRDefault="0068305B" w:rsidP="002540AB">
      <w:pPr>
        <w:spacing w:before="100" w:beforeAutospacing="1" w:after="100" w:afterAutospacing="1" w:line="276" w:lineRule="auto"/>
        <w:ind w:left="1068" w:right="1068"/>
        <w:jc w:val="both"/>
        <w:rPr>
          <w:rFonts w:ascii="Arial" w:hAnsi="Arial" w:cs="Arial"/>
          <w:color w:val="000000"/>
        </w:rPr>
      </w:pPr>
      <w:r w:rsidRPr="00BB3634">
        <w:rPr>
          <w:rFonts w:ascii="Arial" w:hAnsi="Arial" w:cs="Arial"/>
          <w:color w:val="000000"/>
        </w:rPr>
        <w:t xml:space="preserve">11. Will a proper record be kept of the reasons for and the manner in which the strip search was conducted? : </w:t>
      </w:r>
      <w:r w:rsidRPr="00BB3634">
        <w:rPr>
          <w:rFonts w:ascii="Arial" w:hAnsi="Arial" w:cs="Arial"/>
          <w:i/>
          <w:color w:val="000000"/>
        </w:rPr>
        <w:t xml:space="preserve">Pilon </w:t>
      </w:r>
      <w:r w:rsidRPr="00BB3634">
        <w:rPr>
          <w:rFonts w:ascii="Arial" w:hAnsi="Arial" w:cs="Arial"/>
          <w:color w:val="000000"/>
        </w:rPr>
        <w:t>at para 19</w:t>
      </w:r>
    </w:p>
    <w:p w14:paraId="1BCCF8A2" w14:textId="1B846DFF" w:rsidR="00CB0330" w:rsidRPr="00BB3634" w:rsidRDefault="00CB0330" w:rsidP="00BB3634">
      <w:pPr>
        <w:spacing w:before="100" w:beforeAutospacing="1" w:after="100" w:afterAutospacing="1" w:line="276" w:lineRule="auto"/>
        <w:jc w:val="both"/>
        <w:rPr>
          <w:rFonts w:ascii="Arial" w:hAnsi="Arial" w:cs="Arial"/>
          <w:color w:val="000000"/>
        </w:rPr>
      </w:pPr>
      <w:r w:rsidRPr="00BB3634">
        <w:rPr>
          <w:rFonts w:ascii="Arial" w:hAnsi="Arial" w:cs="Arial"/>
          <w:color w:val="000000"/>
        </w:rPr>
        <w:t xml:space="preserve">In </w:t>
      </w:r>
      <w:r w:rsidR="00A65BDB" w:rsidRPr="00BB3634">
        <w:rPr>
          <w:rFonts w:ascii="Arial" w:hAnsi="Arial" w:cs="Arial"/>
          <w:i/>
          <w:color w:val="000000"/>
        </w:rPr>
        <w:t xml:space="preserve">Pilon, </w:t>
      </w:r>
      <w:r w:rsidR="00A65BDB" w:rsidRPr="00BB3634">
        <w:rPr>
          <w:rFonts w:ascii="Arial" w:hAnsi="Arial" w:cs="Arial"/>
          <w:color w:val="000000"/>
        </w:rPr>
        <w:t xml:space="preserve">the Court of Appeal </w:t>
      </w:r>
      <w:r w:rsidR="00980C5E" w:rsidRPr="00BB3634">
        <w:rPr>
          <w:rFonts w:ascii="Arial" w:hAnsi="Arial" w:cs="Arial"/>
          <w:color w:val="000000"/>
        </w:rPr>
        <w:t>accepted</w:t>
      </w:r>
      <w:r w:rsidR="00A65BDB" w:rsidRPr="00BB3634">
        <w:rPr>
          <w:rFonts w:ascii="Arial" w:hAnsi="Arial" w:cs="Arial"/>
          <w:color w:val="000000"/>
        </w:rPr>
        <w:t xml:space="preserve"> that the jurisprudence has thus far only recognized safety concerns as justifying a field strip search on the basis of exigent circumstances. However, the court left open the </w:t>
      </w:r>
      <w:r w:rsidRPr="00BB3634">
        <w:rPr>
          <w:rFonts w:ascii="Arial" w:hAnsi="Arial" w:cs="Arial"/>
          <w:color w:val="000000"/>
        </w:rPr>
        <w:t>possibility that very serious and immediate concerns about the preservation of evidence </w:t>
      </w:r>
      <w:r w:rsidR="001B3060" w:rsidRPr="00BB3634">
        <w:rPr>
          <w:rFonts w:ascii="Arial" w:hAnsi="Arial" w:cs="Arial"/>
          <w:color w:val="000000"/>
        </w:rPr>
        <w:t>may create</w:t>
      </w:r>
      <w:r w:rsidRPr="00BB3634">
        <w:rPr>
          <w:rFonts w:ascii="Arial" w:hAnsi="Arial" w:cs="Arial"/>
          <w:color w:val="000000"/>
        </w:rPr>
        <w:t xml:space="preserve"> an urgent and necessary need to cond</w:t>
      </w:r>
      <w:r w:rsidR="001B3060" w:rsidRPr="00BB3634">
        <w:rPr>
          <w:rFonts w:ascii="Arial" w:hAnsi="Arial" w:cs="Arial"/>
          <w:color w:val="000000"/>
        </w:rPr>
        <w:t xml:space="preserve">uct a strip search in the field: </w:t>
      </w:r>
      <w:r w:rsidR="001D315E" w:rsidRPr="00BB3634">
        <w:rPr>
          <w:rFonts w:ascii="Arial" w:hAnsi="Arial" w:cs="Arial"/>
          <w:color w:val="000000"/>
        </w:rPr>
        <w:t>paras 26-27</w:t>
      </w:r>
    </w:p>
    <w:p w14:paraId="6FE82151" w14:textId="2161DBF5" w:rsidR="00ED0540" w:rsidRPr="00BB3634" w:rsidRDefault="00ED0540" w:rsidP="000B18E5">
      <w:pPr>
        <w:pStyle w:val="NoSpacing"/>
      </w:pPr>
      <w:r w:rsidRPr="00BB3634">
        <w:t xml:space="preserve">In </w:t>
      </w:r>
      <w:r w:rsidRPr="00BB3634">
        <w:rPr>
          <w:i/>
        </w:rPr>
        <w:t xml:space="preserve">Byfield, </w:t>
      </w:r>
      <w:r w:rsidRPr="00BB3634">
        <w:t xml:space="preserve">the Ontnario Court of Appeal rejected the submission that the strip search should have waited until the Appellant arrived at the police station, which was only four minutes away from the location of the arrest and search. The court held that “The evidence demonstrates that the searching officer’s safety concerns were real and that it was appropriate to conduct a second pat down search”: </w:t>
      </w:r>
      <w:r w:rsidRPr="00BB3634">
        <w:rPr>
          <w:i/>
        </w:rPr>
        <w:t xml:space="preserve">R v Byfield, </w:t>
      </w:r>
      <w:hyperlink r:id="rId178" w:history="1">
        <w:r w:rsidRPr="00BB3634">
          <w:rPr>
            <w:rStyle w:val="Hyperlink"/>
          </w:rPr>
          <w:t>2020 ONCA 515</w:t>
        </w:r>
      </w:hyperlink>
      <w:r w:rsidRPr="00BB3634">
        <w:t>, at para 15</w:t>
      </w:r>
    </w:p>
    <w:p w14:paraId="216B158D" w14:textId="37530D26" w:rsidR="00CB0330" w:rsidRPr="00BB3634" w:rsidRDefault="00CB0330" w:rsidP="00BB3634">
      <w:pPr>
        <w:spacing w:line="276" w:lineRule="auto"/>
        <w:rPr>
          <w:rFonts w:ascii="Arial" w:hAnsi="Arial" w:cs="Arial"/>
          <w:iCs/>
        </w:rPr>
      </w:pPr>
    </w:p>
    <w:p w14:paraId="5EB2A7F5" w14:textId="77777777" w:rsidR="0068305B" w:rsidRPr="00BB3634" w:rsidRDefault="0068305B" w:rsidP="00BB3634">
      <w:pPr>
        <w:spacing w:line="276" w:lineRule="auto"/>
        <w:rPr>
          <w:rFonts w:ascii="Arial" w:hAnsi="Arial" w:cs="Arial"/>
        </w:rPr>
      </w:pPr>
    </w:p>
    <w:p w14:paraId="66600088" w14:textId="6EA16BB8" w:rsidR="0080724E" w:rsidRDefault="0080724E" w:rsidP="00BB3634">
      <w:pPr>
        <w:pStyle w:val="Heading2"/>
        <w:spacing w:line="276" w:lineRule="auto"/>
        <w:rPr>
          <w:rFonts w:cs="Arial"/>
        </w:rPr>
      </w:pPr>
      <w:bookmarkStart w:id="65" w:name="_Toc94360146"/>
      <w:r>
        <w:rPr>
          <w:rFonts w:cs="Arial"/>
        </w:rPr>
        <w:t>Plain View Doctrine</w:t>
      </w:r>
      <w:bookmarkEnd w:id="65"/>
    </w:p>
    <w:p w14:paraId="41AE6C94" w14:textId="5B88319F" w:rsidR="0080724E" w:rsidRDefault="0080724E" w:rsidP="0080724E">
      <w:pPr>
        <w:rPr>
          <w:lang w:val="en-US"/>
        </w:rPr>
      </w:pPr>
    </w:p>
    <w:p w14:paraId="14E64059" w14:textId="77777777" w:rsidR="0080724E" w:rsidRDefault="0080724E" w:rsidP="000B18E5">
      <w:pPr>
        <w:pStyle w:val="NoSpacing"/>
      </w:pPr>
      <w:r>
        <w:t>T</w:t>
      </w:r>
      <w:r w:rsidRPr="0080724E">
        <w:t xml:space="preserve">he plain view doctrine is a seizure doctrine, not a search doctrine. </w:t>
      </w:r>
      <w:r>
        <w:t>T</w:t>
      </w:r>
      <w:r w:rsidRPr="0080724E">
        <w:t xml:space="preserve">here are four criteria to be applied in determining whether the doctrine is operative: </w:t>
      </w:r>
    </w:p>
    <w:p w14:paraId="5F5B6800" w14:textId="77777777" w:rsidR="0080724E" w:rsidRPr="0080724E" w:rsidRDefault="0080724E" w:rsidP="000B18E5">
      <w:pPr>
        <w:pStyle w:val="NoSpacing"/>
        <w:numPr>
          <w:ilvl w:val="0"/>
          <w:numId w:val="53"/>
        </w:numPr>
      </w:pPr>
      <w:r w:rsidRPr="0080724E">
        <w:t xml:space="preserve">whether the police were lawfully positioned relative to where the item(s) were found; </w:t>
      </w:r>
    </w:p>
    <w:p w14:paraId="4F75E138" w14:textId="3307DFDA" w:rsidR="0080724E" w:rsidRDefault="0080724E" w:rsidP="000B18E5">
      <w:pPr>
        <w:pStyle w:val="NoSpacing"/>
        <w:numPr>
          <w:ilvl w:val="0"/>
          <w:numId w:val="53"/>
        </w:numPr>
      </w:pPr>
      <w:r w:rsidRPr="0080724E">
        <w:t>whether the nature of the evidence was immediately apparent as constituting an offence</w:t>
      </w:r>
    </w:p>
    <w:p w14:paraId="61B237D6" w14:textId="77777777" w:rsidR="0080724E" w:rsidRDefault="0080724E" w:rsidP="000B18E5">
      <w:pPr>
        <w:pStyle w:val="NoSpacing"/>
        <w:numPr>
          <w:ilvl w:val="0"/>
          <w:numId w:val="53"/>
        </w:numPr>
      </w:pPr>
      <w:r w:rsidRPr="0080724E">
        <w:t xml:space="preserve">whether it was discovered inadvertently; and </w:t>
      </w:r>
    </w:p>
    <w:p w14:paraId="69DFF1A0" w14:textId="0596F9FC" w:rsidR="0080724E" w:rsidRPr="0080724E" w:rsidRDefault="0080724E" w:rsidP="000B18E5">
      <w:pPr>
        <w:pStyle w:val="NoSpacing"/>
        <w:numPr>
          <w:ilvl w:val="0"/>
          <w:numId w:val="53"/>
        </w:numPr>
      </w:pPr>
      <w:r w:rsidRPr="0080724E">
        <w:t>whether the item(s) were visible without any exploratory search</w:t>
      </w:r>
      <w:r>
        <w:t xml:space="preserve">: </w:t>
      </w:r>
      <w:r>
        <w:rPr>
          <w:i/>
        </w:rPr>
        <w:t xml:space="preserve">R v Stairs, </w:t>
      </w:r>
      <w:hyperlink r:id="rId179" w:history="1">
        <w:r w:rsidRPr="0080724E">
          <w:rPr>
            <w:rStyle w:val="Hyperlink"/>
          </w:rPr>
          <w:t>2020 ONCA 678</w:t>
        </w:r>
      </w:hyperlink>
      <w:r>
        <w:t>, at para 62</w:t>
      </w:r>
    </w:p>
    <w:p w14:paraId="4F4584A1" w14:textId="77777777" w:rsidR="0080724E" w:rsidRPr="0080724E" w:rsidRDefault="0080724E" w:rsidP="0080724E"/>
    <w:p w14:paraId="12E48206" w14:textId="77777777" w:rsidR="0080724E" w:rsidRPr="0080724E" w:rsidRDefault="0080724E" w:rsidP="0080724E">
      <w:pPr>
        <w:rPr>
          <w:lang w:val="en-US"/>
        </w:rPr>
      </w:pPr>
    </w:p>
    <w:p w14:paraId="6463DA92" w14:textId="0BE16186" w:rsidR="00BF14D7" w:rsidRPr="00BB3634" w:rsidRDefault="00BF14D7" w:rsidP="00BB3634">
      <w:pPr>
        <w:pStyle w:val="Heading2"/>
        <w:spacing w:line="276" w:lineRule="auto"/>
        <w:rPr>
          <w:rFonts w:cs="Arial"/>
        </w:rPr>
      </w:pPr>
      <w:bookmarkStart w:id="66" w:name="_Toc94360147"/>
      <w:r w:rsidRPr="00BB3634">
        <w:rPr>
          <w:rFonts w:cs="Arial"/>
        </w:rPr>
        <w:lastRenderedPageBreak/>
        <w:t>Exigent Circumstances</w:t>
      </w:r>
      <w:bookmarkEnd w:id="66"/>
    </w:p>
    <w:p w14:paraId="36B8495C" w14:textId="73CF45FD" w:rsidR="00BF14D7" w:rsidRPr="00BB3634" w:rsidRDefault="00BF14D7" w:rsidP="007A6720">
      <w:pPr>
        <w:pStyle w:val="Heading3"/>
        <w:numPr>
          <w:ilvl w:val="0"/>
          <w:numId w:val="43"/>
        </w:numPr>
      </w:pPr>
      <w:bookmarkStart w:id="67" w:name="_Toc94360148"/>
      <w:r w:rsidRPr="00BB3634">
        <w:t>The Right to Privacy in One's Home</w:t>
      </w:r>
      <w:bookmarkEnd w:id="67"/>
    </w:p>
    <w:p w14:paraId="56E328EF" w14:textId="77777777" w:rsidR="00BF14D7" w:rsidRPr="00BB3634" w:rsidRDefault="00BF14D7" w:rsidP="000B18E5">
      <w:pPr>
        <w:pStyle w:val="NoSpacing"/>
      </w:pPr>
      <w:r w:rsidRPr="00BB3634">
        <w:rPr>
          <w:b/>
        </w:rPr>
        <w:t> </w:t>
      </w:r>
      <w:r w:rsidRPr="00BB3634">
        <w:t>The s. 8 right to be secure against unreasonable searches protects a person’s expectation of privacy from state intrusion. Nowhere is that expectation of privacy higher than in one’s home. To enter a home, police ordinarily need previous authorization: a warrant. Warrantless entries of a home are presumed to be unreasonable and in breach of s. 8. However, statutory and common law exceptions exist: </w:t>
      </w:r>
      <w:r w:rsidRPr="00BB3634">
        <w:rPr>
          <w:i/>
        </w:rPr>
        <w:t>R v Davidson, </w:t>
      </w:r>
      <w:hyperlink r:id="rId180" w:tgtFrame="_blank" w:history="1">
        <w:r w:rsidRPr="00BB3634">
          <w:rPr>
            <w:u w:val="single"/>
          </w:rPr>
          <w:t>2017 ONCA 257</w:t>
        </w:r>
      </w:hyperlink>
      <w:r w:rsidRPr="00BB3634">
        <w:t> at paras 2-21 </w:t>
      </w:r>
    </w:p>
    <w:p w14:paraId="7284059C" w14:textId="77777777" w:rsidR="00CA2461" w:rsidRPr="00BB3634" w:rsidRDefault="00CA2461" w:rsidP="000B18E5">
      <w:pPr>
        <w:pStyle w:val="NoSpacing"/>
      </w:pPr>
    </w:p>
    <w:p w14:paraId="78F89BD0" w14:textId="00F2636A" w:rsidR="00CA2461" w:rsidRPr="00BB3634" w:rsidRDefault="00CA2461" w:rsidP="000B18E5">
      <w:pPr>
        <w:pStyle w:val="NoSpacing"/>
        <w:rPr>
          <w:b/>
        </w:rPr>
      </w:pPr>
      <w:r w:rsidRPr="00BB3634">
        <w:t xml:space="preserve">Police are entitled to enter a home in response to a 911 call to determine whether the caller is in need of assistance; in doing so, they are not trespassing: </w:t>
      </w:r>
      <w:r w:rsidRPr="00BB3634">
        <w:rPr>
          <w:i/>
        </w:rPr>
        <w:t>R v Zarama</w:t>
      </w:r>
      <w:r w:rsidRPr="00BB3634">
        <w:t xml:space="preserve">, </w:t>
      </w:r>
      <w:hyperlink r:id="rId181" w:history="1">
        <w:r w:rsidRPr="00BB3634">
          <w:rPr>
            <w:rStyle w:val="Hyperlink"/>
          </w:rPr>
          <w:t>2015 ONCA 860</w:t>
        </w:r>
      </w:hyperlink>
    </w:p>
    <w:p w14:paraId="7C5F597E" w14:textId="747E71B2" w:rsidR="00BF14D7" w:rsidRPr="00BB3634" w:rsidRDefault="00BF14D7" w:rsidP="00BB3634">
      <w:pPr>
        <w:spacing w:line="276" w:lineRule="auto"/>
        <w:textAlignment w:val="baseline"/>
        <w:rPr>
          <w:rFonts w:ascii="Arial" w:hAnsi="Arial" w:cs="Arial"/>
          <w:b/>
          <w:bCs/>
        </w:rPr>
      </w:pPr>
    </w:p>
    <w:p w14:paraId="2282B4CC" w14:textId="41C9554C" w:rsidR="00BF14D7" w:rsidRPr="00BB3634" w:rsidRDefault="00BF14D7" w:rsidP="007A6720">
      <w:pPr>
        <w:pStyle w:val="Heading3"/>
        <w:numPr>
          <w:ilvl w:val="0"/>
          <w:numId w:val="43"/>
        </w:numPr>
      </w:pPr>
      <w:bookmarkStart w:id="68" w:name="_Toc94360149"/>
      <w:r w:rsidRPr="00BB3634">
        <w:t>Under the Controlled Drugs and Substances Act</w:t>
      </w:r>
      <w:bookmarkEnd w:id="68"/>
      <w:r w:rsidRPr="00BB3634">
        <w:t> </w:t>
      </w:r>
    </w:p>
    <w:p w14:paraId="0B5EA924" w14:textId="1DF00E65" w:rsidR="00BF14D7" w:rsidRPr="00BB3634" w:rsidRDefault="00BF14D7" w:rsidP="000B18E5">
      <w:pPr>
        <w:pStyle w:val="NoSpacing"/>
      </w:pPr>
      <w:r w:rsidRPr="00BB3634">
        <w:t>Exigent circumstances under s. 11</w:t>
      </w:r>
      <w:r w:rsidR="00E116FB">
        <w:t>(</w:t>
      </w:r>
      <w:r w:rsidRPr="00BB3634">
        <w:t>7</w:t>
      </w:r>
      <w:r w:rsidR="00E116FB">
        <w:t>)</w:t>
      </w:r>
      <w:r w:rsidRPr="00BB3634">
        <w:t xml:space="preserve"> of the CDSA exist if: 1) the police have grounds to obtain a search warrant under s. 11 of the CDSA (the probable cause requirement); and 2) the police believe, based on reasonable grounds, that there is imminent danger that evidence located in the premises will be destroyed or lost, or that officer or public safety will be jeopardized if the police do not enter and secure the premises without delay (the urgency requirement): </w:t>
      </w:r>
      <w:r w:rsidRPr="00BB3634">
        <w:rPr>
          <w:i/>
        </w:rPr>
        <w:t>R v Phoummasak, </w:t>
      </w:r>
      <w:hyperlink r:id="rId182" w:tgtFrame="_blank" w:history="1">
        <w:r w:rsidRPr="00BB3634">
          <w:rPr>
            <w:u w:val="single"/>
          </w:rPr>
          <w:t>2016 ONCA 46</w:t>
        </w:r>
      </w:hyperlink>
      <w:r w:rsidRPr="00BB3634">
        <w:t> at para 12: </w:t>
      </w:r>
      <w:r w:rsidRPr="00BB3634">
        <w:rPr>
          <w:i/>
        </w:rPr>
        <w:t>R v Paterson, </w:t>
      </w:r>
      <w:r w:rsidRPr="00BB3634">
        <w:t>2017 SCC 17 at para 37</w:t>
      </w:r>
    </w:p>
    <w:p w14:paraId="498B71F1" w14:textId="30B0BFFC" w:rsidR="00BF14D7" w:rsidRDefault="00BF14D7" w:rsidP="000B18E5">
      <w:pPr>
        <w:pStyle w:val="NoSpacing"/>
      </w:pPr>
      <w:r w:rsidRPr="00BB3634">
        <w:t>​</w:t>
      </w:r>
    </w:p>
    <w:p w14:paraId="142152C9" w14:textId="04C096D6" w:rsidR="0026238A" w:rsidRDefault="0026238A" w:rsidP="000B18E5">
      <w:pPr>
        <w:pStyle w:val="NoSpacing"/>
      </w:pPr>
      <w:r w:rsidRPr="0026238A">
        <w:t>The first requirement</w:t>
      </w:r>
      <w:r>
        <w:t xml:space="preserve"> is</w:t>
      </w:r>
      <w:r w:rsidRPr="0026238A">
        <w:t xml:space="preserve"> determined by asking whether the police had adequate grounds to obtain a warrant to search the location they entered without a warrant. That assessment is made based on the facts the police knew or reasonably should have known when the entry was made:</w:t>
      </w:r>
      <w:r>
        <w:t xml:space="preserve"> </w:t>
      </w:r>
      <w:r>
        <w:rPr>
          <w:i/>
        </w:rPr>
        <w:t xml:space="preserve">R v Hobeika, </w:t>
      </w:r>
      <w:hyperlink r:id="rId183" w:history="1">
        <w:r w:rsidRPr="0026238A">
          <w:rPr>
            <w:rStyle w:val="Hyperlink"/>
          </w:rPr>
          <w:t>2020 ONCA 750</w:t>
        </w:r>
      </w:hyperlink>
      <w:r>
        <w:t>, at para 36</w:t>
      </w:r>
    </w:p>
    <w:p w14:paraId="6B6749A9" w14:textId="77777777" w:rsidR="00DC5155" w:rsidRDefault="00DC5155" w:rsidP="000B18E5">
      <w:pPr>
        <w:pStyle w:val="NoSpacing"/>
      </w:pPr>
    </w:p>
    <w:p w14:paraId="5D71AFAD" w14:textId="0EEB3A1A" w:rsidR="0026238A" w:rsidRDefault="0026238A" w:rsidP="000B18E5">
      <w:pPr>
        <w:pStyle w:val="NoSpacing"/>
      </w:pPr>
      <w:r>
        <w:t>T</w:t>
      </w:r>
      <w:r w:rsidRPr="0026238A">
        <w:t xml:space="preserve">he existence of what would otherwise amount to exigent circumstances will not justify a warrantless entry if those circumstances were the consequences of a pre-planned police operation. The police cannot circumvent the warrant requirement by devising and implementing a strategy which creates an imminent danger evidence will be destroyed, and then rely on that imminent danger as justification for acting without a warrant. If the police strategy creates the </w:t>
      </w:r>
      <w:r w:rsidRPr="0026238A">
        <w:lastRenderedPageBreak/>
        <w:t>supposed urgency, the circumstances are not “exigent”, but are anticipated, if not planned for, by the police: </w:t>
      </w:r>
      <w:r>
        <w:rPr>
          <w:i/>
        </w:rPr>
        <w:t xml:space="preserve">R v Hobeika, </w:t>
      </w:r>
      <w:hyperlink r:id="rId184" w:history="1">
        <w:r w:rsidRPr="0026238A">
          <w:rPr>
            <w:rStyle w:val="Hyperlink"/>
          </w:rPr>
          <w:t>2020 ONCA 750</w:t>
        </w:r>
      </w:hyperlink>
      <w:r>
        <w:t>, at para 49</w:t>
      </w:r>
    </w:p>
    <w:p w14:paraId="7120B94E" w14:textId="0F71D894" w:rsidR="0026238A" w:rsidRDefault="0026238A" w:rsidP="000B18E5">
      <w:pPr>
        <w:pStyle w:val="NoSpacing"/>
      </w:pPr>
    </w:p>
    <w:p w14:paraId="1D8E6755" w14:textId="56B25B99" w:rsidR="0026238A" w:rsidRPr="0026238A" w:rsidRDefault="0026238A" w:rsidP="000B18E5">
      <w:pPr>
        <w:pStyle w:val="NoSpacing"/>
        <w:rPr>
          <w:i/>
        </w:rPr>
      </w:pPr>
      <w:r w:rsidRPr="0026238A">
        <w:t>Evidence the police could have proceeded in a different manner may have evidentiary value when assessing whether the alleged exigent circumstances were created by the police. The availability of a different strategy does not, however, mean that the police created the alleged urgency. The question is not could the police reasonably have done something else, but whether the police operational plan would, in its implementation, create the very circumstances said to justify acting without a warrant</w:t>
      </w:r>
      <w:r>
        <w:t xml:space="preserve">: </w:t>
      </w:r>
      <w:r>
        <w:rPr>
          <w:i/>
        </w:rPr>
        <w:t xml:space="preserve">R v Hobeika, </w:t>
      </w:r>
      <w:hyperlink r:id="rId185" w:history="1">
        <w:r w:rsidRPr="0026238A">
          <w:rPr>
            <w:rStyle w:val="Hyperlink"/>
          </w:rPr>
          <w:t>2020 ONCA 750</w:t>
        </w:r>
      </w:hyperlink>
      <w:r>
        <w:t>, at para 750</w:t>
      </w:r>
    </w:p>
    <w:p w14:paraId="008DE73C" w14:textId="77777777" w:rsidR="0026238A" w:rsidRPr="00BB3634" w:rsidRDefault="0026238A" w:rsidP="000B18E5">
      <w:pPr>
        <w:pStyle w:val="NoSpacing"/>
      </w:pPr>
    </w:p>
    <w:p w14:paraId="059EF64F" w14:textId="77777777" w:rsidR="00BF14D7" w:rsidRPr="00BB3634" w:rsidRDefault="00BF14D7" w:rsidP="000B18E5">
      <w:pPr>
        <w:pStyle w:val="NoSpacing"/>
      </w:pPr>
      <w:r w:rsidRPr="00BB3634">
        <w:t>Evidence that the police had grounds to obtain a search warrant, but instead proceeded with other investigative measures, can in some situations afford evidence that the police set out to create exigent circumstances to justify entry into a premise without a warrant: </w:t>
      </w:r>
      <w:r w:rsidRPr="00BB3634">
        <w:rPr>
          <w:i/>
        </w:rPr>
        <w:t>R v Phoummasak, </w:t>
      </w:r>
      <w:hyperlink r:id="rId186" w:tgtFrame="_blank" w:history="1">
        <w:r w:rsidRPr="00BB3634">
          <w:rPr>
            <w:u w:val="single"/>
          </w:rPr>
          <w:t>2016 ONCA 46</w:t>
        </w:r>
      </w:hyperlink>
      <w:r w:rsidRPr="00BB3634">
        <w:t> at paras 14-16</w:t>
      </w:r>
    </w:p>
    <w:p w14:paraId="64D30FF1" w14:textId="423F0E68" w:rsidR="00BF14D7" w:rsidRPr="00BB3634" w:rsidRDefault="00BF14D7" w:rsidP="000B18E5">
      <w:pPr>
        <w:pStyle w:val="NoSpacing"/>
      </w:pPr>
      <w:r w:rsidRPr="00BB3634">
        <w:t>​</w:t>
      </w:r>
    </w:p>
    <w:p w14:paraId="724CF6F7" w14:textId="60DEE290" w:rsidR="00BF14D7" w:rsidRPr="00BB3634" w:rsidRDefault="00BF14D7" w:rsidP="007A6720">
      <w:pPr>
        <w:pStyle w:val="Heading3"/>
        <w:numPr>
          <w:ilvl w:val="0"/>
          <w:numId w:val="43"/>
        </w:numPr>
      </w:pPr>
      <w:bookmarkStart w:id="69" w:name="_Toc94360150"/>
      <w:r w:rsidRPr="00BB3634">
        <w:t>Under the Child and Family Services Act</w:t>
      </w:r>
      <w:bookmarkEnd w:id="69"/>
    </w:p>
    <w:p w14:paraId="0DAB532D" w14:textId="77777777" w:rsidR="00BF14D7" w:rsidRPr="00BB3634" w:rsidRDefault="00E32F34" w:rsidP="000B18E5">
      <w:pPr>
        <w:pStyle w:val="NoSpacing"/>
      </w:pPr>
      <w:hyperlink r:id="rId187" w:anchor="BK61" w:tgtFrame="_blank" w:history="1">
        <w:r w:rsidR="00BF14D7" w:rsidRPr="00BB3634">
          <w:rPr>
            <w:u w:val="single"/>
          </w:rPr>
          <w:t>Under s. 40(2)</w:t>
        </w:r>
      </w:hyperlink>
      <w:r w:rsidR="00BF14D7" w:rsidRPr="00BB3634">
        <w:t>, a child protection worker may obtain a warrant to seize a child from a home if reasonable and probable grounds exist to show the child is in need of protection and a less restrictive course of action will not protect the child adequately. </w:t>
      </w:r>
      <w:hyperlink r:id="rId188" w:anchor="BK61" w:tgtFrame="_blank" w:history="1">
        <w:r w:rsidR="00BF14D7" w:rsidRPr="00BB3634">
          <w:rPr>
            <w:u w:val="single"/>
          </w:rPr>
          <w:t>Section 40(7)</w:t>
        </w:r>
      </w:hyperlink>
      <w:r w:rsidR="00BF14D7" w:rsidRPr="00BB3634">
        <w:t> authorizes a child protection worker to enter a home without a warrant to bring a child to a place of safety, but only if two conditions are met. The child protection worker must believe on reasonable and probable grounds that:</w:t>
      </w:r>
    </w:p>
    <w:p w14:paraId="6929471F" w14:textId="77777777" w:rsidR="00721C1C" w:rsidRPr="00BB3634" w:rsidRDefault="00721C1C" w:rsidP="00BB3634">
      <w:pPr>
        <w:spacing w:line="276" w:lineRule="auto"/>
        <w:jc w:val="both"/>
        <w:textAlignment w:val="baseline"/>
        <w:rPr>
          <w:rFonts w:ascii="Arial" w:hAnsi="Arial" w:cs="Arial"/>
          <w:bCs/>
        </w:rPr>
      </w:pPr>
    </w:p>
    <w:p w14:paraId="00A29921" w14:textId="77777777" w:rsidR="00BF14D7" w:rsidRPr="00BB3634" w:rsidRDefault="00BF14D7" w:rsidP="00BB3634">
      <w:pPr>
        <w:numPr>
          <w:ilvl w:val="0"/>
          <w:numId w:val="1"/>
        </w:numPr>
        <w:spacing w:line="276" w:lineRule="auto"/>
        <w:ind w:left="720"/>
        <w:jc w:val="both"/>
        <w:textAlignment w:val="baseline"/>
        <w:rPr>
          <w:rFonts w:ascii="Arial" w:hAnsi="Arial" w:cs="Arial"/>
          <w:bCs/>
        </w:rPr>
      </w:pPr>
      <w:r w:rsidRPr="00BB3634">
        <w:rPr>
          <w:rFonts w:ascii="Arial" w:hAnsi="Arial" w:cs="Arial"/>
          <w:bCs/>
        </w:rPr>
        <w:t>The child is in need of protection; and</w:t>
      </w:r>
    </w:p>
    <w:p w14:paraId="3DD8F91B" w14:textId="29791A49" w:rsidR="00BF14D7" w:rsidRPr="00BB3634" w:rsidRDefault="00BF14D7" w:rsidP="00BB3634">
      <w:pPr>
        <w:numPr>
          <w:ilvl w:val="0"/>
          <w:numId w:val="1"/>
        </w:numPr>
        <w:spacing w:line="276" w:lineRule="auto"/>
        <w:ind w:left="720"/>
        <w:jc w:val="both"/>
        <w:textAlignment w:val="baseline"/>
        <w:rPr>
          <w:rFonts w:ascii="Arial" w:hAnsi="Arial" w:cs="Arial"/>
          <w:bCs/>
        </w:rPr>
      </w:pPr>
      <w:r w:rsidRPr="00BB3634">
        <w:rPr>
          <w:rFonts w:ascii="Arial" w:hAnsi="Arial" w:cs="Arial"/>
          <w:bCs/>
        </w:rPr>
        <w:t>There would be a substantial risk to the child’s health or safety during the time needed to obtain a warrant or to bring the matter on for a hearing.</w:t>
      </w:r>
    </w:p>
    <w:p w14:paraId="25F23B3D" w14:textId="77777777" w:rsidR="00D75E69" w:rsidRPr="00BB3634" w:rsidRDefault="00D75E69" w:rsidP="00BB3634">
      <w:pPr>
        <w:spacing w:line="276" w:lineRule="auto"/>
        <w:jc w:val="both"/>
        <w:textAlignment w:val="baseline"/>
        <w:rPr>
          <w:rFonts w:ascii="Arial" w:hAnsi="Arial" w:cs="Arial"/>
          <w:bCs/>
        </w:rPr>
      </w:pPr>
    </w:p>
    <w:p w14:paraId="78B0E163" w14:textId="5619A8BF" w:rsidR="00BF14D7" w:rsidRPr="00BB3634" w:rsidRDefault="00E32F34" w:rsidP="000B18E5">
      <w:pPr>
        <w:pStyle w:val="NoSpacing"/>
      </w:pPr>
      <w:hyperlink r:id="rId189" w:anchor="BK61" w:tgtFrame="_blank" w:history="1">
        <w:r w:rsidR="00BF14D7" w:rsidRPr="00BB3634">
          <w:t>Section 40(11)</w:t>
        </w:r>
      </w:hyperlink>
      <w:r w:rsidR="00BF14D7" w:rsidRPr="00BB3634">
        <w:t> supplements </w:t>
      </w:r>
      <w:hyperlink r:id="rId190" w:anchor="BK61" w:tgtFrame="_blank" w:history="1">
        <w:r w:rsidR="00BF14D7" w:rsidRPr="00BB3634">
          <w:t>s. 40(7</w:t>
        </w:r>
      </w:hyperlink>
      <w:r w:rsidR="00BF14D7" w:rsidRPr="00BB3634">
        <w:t>) and provides that if necessary the child protection worker can enter a home by force to search for and remove a child. </w:t>
      </w:r>
      <w:hyperlink r:id="rId191" w:anchor="BK61" w:tgtFrame="_blank" w:history="1">
        <w:r w:rsidR="00BF14D7" w:rsidRPr="00BB3634">
          <w:t>Section 40(13)</w:t>
        </w:r>
      </w:hyperlink>
      <w:r w:rsidR="00BF14D7" w:rsidRPr="00BB3634">
        <w:t> provides that a police officer has the same powers as does a child protection worker under </w:t>
      </w:r>
      <w:hyperlink r:id="rId192" w:anchor="BK61" w:tgtFrame="_blank" w:history="1">
        <w:r w:rsidR="00BF14D7" w:rsidRPr="00BB3634">
          <w:t>s. 40(2), (7) and (11)</w:t>
        </w:r>
      </w:hyperlink>
      <w:r w:rsidR="00BF14D7" w:rsidRPr="00BB3634">
        <w:t>: </w:t>
      </w:r>
      <w:r w:rsidR="00BF14D7" w:rsidRPr="00BB3634">
        <w:rPr>
          <w:i/>
        </w:rPr>
        <w:t>R v Davidson, </w:t>
      </w:r>
      <w:hyperlink r:id="rId193" w:tgtFrame="_blank" w:history="1">
        <w:r w:rsidR="00BF14D7" w:rsidRPr="00BB3634">
          <w:t>2017 ONCA 257</w:t>
        </w:r>
      </w:hyperlink>
      <w:r w:rsidR="00BF14D7" w:rsidRPr="00BB3634">
        <w:t> at paras 38-42</w:t>
      </w:r>
    </w:p>
    <w:p w14:paraId="34C38D06" w14:textId="3E803D35" w:rsidR="00BF14D7" w:rsidRDefault="00BF14D7" w:rsidP="00BB3634">
      <w:pPr>
        <w:spacing w:line="276" w:lineRule="auto"/>
        <w:textAlignment w:val="baseline"/>
        <w:rPr>
          <w:rFonts w:ascii="Arial" w:hAnsi="Arial" w:cs="Arial"/>
          <w:b/>
          <w:bCs/>
          <w:bdr w:val="none" w:sz="0" w:space="0" w:color="auto" w:frame="1"/>
        </w:rPr>
      </w:pPr>
      <w:r w:rsidRPr="00BB3634">
        <w:rPr>
          <w:rFonts w:ascii="Arial" w:hAnsi="Arial" w:cs="Arial"/>
          <w:b/>
          <w:bCs/>
          <w:bdr w:val="none" w:sz="0" w:space="0" w:color="auto" w:frame="1"/>
        </w:rPr>
        <w:t>​</w:t>
      </w:r>
    </w:p>
    <w:p w14:paraId="58B8F105" w14:textId="4A0333B1" w:rsidR="00DC5155" w:rsidRDefault="00DC5155" w:rsidP="00BB3634">
      <w:pPr>
        <w:spacing w:line="276" w:lineRule="auto"/>
        <w:textAlignment w:val="baseline"/>
        <w:rPr>
          <w:rFonts w:ascii="Arial" w:hAnsi="Arial" w:cs="Arial"/>
          <w:b/>
          <w:bCs/>
          <w:bdr w:val="none" w:sz="0" w:space="0" w:color="auto" w:frame="1"/>
        </w:rPr>
      </w:pPr>
    </w:p>
    <w:p w14:paraId="77E2F633" w14:textId="77777777" w:rsidR="00DC5155" w:rsidRPr="00BB3634" w:rsidRDefault="00DC5155" w:rsidP="00BB3634">
      <w:pPr>
        <w:spacing w:line="276" w:lineRule="auto"/>
        <w:textAlignment w:val="baseline"/>
        <w:rPr>
          <w:rFonts w:ascii="Arial" w:hAnsi="Arial" w:cs="Arial"/>
          <w:b/>
          <w:bCs/>
        </w:rPr>
      </w:pPr>
    </w:p>
    <w:p w14:paraId="7893CD78" w14:textId="484F7277" w:rsidR="00BF14D7" w:rsidRPr="00BB3634" w:rsidRDefault="00BF14D7" w:rsidP="007A6720">
      <w:pPr>
        <w:pStyle w:val="Heading3"/>
        <w:numPr>
          <w:ilvl w:val="0"/>
          <w:numId w:val="43"/>
        </w:numPr>
      </w:pPr>
      <w:bookmarkStart w:id="70" w:name="_Toc94360151"/>
      <w:r w:rsidRPr="00BB3634">
        <w:lastRenderedPageBreak/>
        <w:t>Under the Criminal Code</w:t>
      </w:r>
      <w:bookmarkEnd w:id="70"/>
    </w:p>
    <w:p w14:paraId="2AE7297B" w14:textId="77777777" w:rsidR="00D75E69" w:rsidRPr="00BB3634" w:rsidRDefault="00D75E69" w:rsidP="000B18E5">
      <w:pPr>
        <w:pStyle w:val="NoSpacing"/>
      </w:pPr>
    </w:p>
    <w:p w14:paraId="593E6CB4" w14:textId="77777777" w:rsidR="00BF14D7" w:rsidRPr="00BB3634" w:rsidRDefault="00BF14D7" w:rsidP="000B18E5">
      <w:pPr>
        <w:pStyle w:val="NoSpacing"/>
      </w:pPr>
      <w:r w:rsidRPr="00BB3634">
        <w:t>Under </w:t>
      </w:r>
      <w:hyperlink r:id="rId194" w:anchor="h-172" w:tgtFrame="_blank" w:history="1">
        <w:r w:rsidRPr="00BB3634">
          <w:rPr>
            <w:u w:val="single"/>
          </w:rPr>
          <w:t>s. 529.3 of the</w:t>
        </w:r>
        <w:r w:rsidRPr="00BB3634">
          <w:rPr>
            <w:i/>
            <w:u w:val="single"/>
          </w:rPr>
          <w:t> Criminal Code</w:t>
        </w:r>
      </w:hyperlink>
      <w:r w:rsidRPr="00BB3634">
        <w:t>,  the police may enter a home without a warrant to arrest or apprehend a person if the conditions for obtaining a warrant exist but “exigent circumstances” – that is, urgent or pressing circumstances – make it impractical to obtain one. The Code includes among exigent circumstances those where the police have reasonable grounds to suspect entry into the home is necessary to protect a person’s imminent harm or death, or to prevent the imminent loss or destruction of evidence: </w:t>
      </w:r>
      <w:r w:rsidRPr="00BB3634">
        <w:rPr>
          <w:i/>
        </w:rPr>
        <w:t>R v Davidson, </w:t>
      </w:r>
      <w:hyperlink r:id="rId195" w:tgtFrame="_blank" w:history="1">
        <w:r w:rsidRPr="00BB3634">
          <w:rPr>
            <w:u w:val="single"/>
          </w:rPr>
          <w:t>2017 ONCA 257</w:t>
        </w:r>
      </w:hyperlink>
      <w:r w:rsidRPr="00BB3634">
        <w:t> at para 21</w:t>
      </w:r>
    </w:p>
    <w:p w14:paraId="4ADD15D3" w14:textId="77777777" w:rsidR="00BF14D7" w:rsidRPr="00BB3634" w:rsidRDefault="00BF14D7" w:rsidP="00BB3634">
      <w:pPr>
        <w:spacing w:line="276" w:lineRule="auto"/>
        <w:textAlignment w:val="baseline"/>
        <w:rPr>
          <w:rFonts w:ascii="Arial" w:hAnsi="Arial" w:cs="Arial"/>
        </w:rPr>
      </w:pPr>
      <w:r w:rsidRPr="00BB3634">
        <w:rPr>
          <w:rFonts w:ascii="Arial" w:hAnsi="Arial" w:cs="Arial"/>
        </w:rPr>
        <w:t> </w:t>
      </w:r>
    </w:p>
    <w:p w14:paraId="3DDD7794" w14:textId="0B4CCF22" w:rsidR="00BF14D7" w:rsidRPr="00BB3634" w:rsidRDefault="00BF14D7" w:rsidP="007A6720">
      <w:pPr>
        <w:pStyle w:val="Heading3"/>
        <w:numPr>
          <w:ilvl w:val="0"/>
          <w:numId w:val="43"/>
        </w:numPr>
      </w:pPr>
      <w:bookmarkStart w:id="71" w:name="_Toc94360152"/>
      <w:r w:rsidRPr="00BB3634">
        <w:t>At Common Law</w:t>
      </w:r>
      <w:bookmarkEnd w:id="71"/>
    </w:p>
    <w:p w14:paraId="29C4EC30" w14:textId="77777777" w:rsidR="005956AC" w:rsidRPr="00BB3634" w:rsidRDefault="005956AC" w:rsidP="000B18E5">
      <w:pPr>
        <w:pStyle w:val="NoSpacing"/>
      </w:pPr>
    </w:p>
    <w:p w14:paraId="74413198" w14:textId="51B86343" w:rsidR="00BF14D7" w:rsidRPr="00BB3634" w:rsidRDefault="00BF14D7" w:rsidP="000B18E5">
      <w:pPr>
        <w:pStyle w:val="NoSpacing"/>
      </w:pPr>
      <w:r w:rsidRPr="00BB3634">
        <w:t>The police have a common law duty to protect a person’s life or safety and that duty may, depending on the circumstances, justify a forced, warrantless entry into a home. For example, when the police receive a 911 call they have authority to investigate the call, which can include a warrantless entry into a home to determine whether the caller is in need of help. The police must, however, reasonably believe that the life or safety of a person inside the home is in danger. And once inside the home, their authority is limited to ascertaining the reason for the call and providing any needed assistance. They do not have any further authority to search the home or intrude on a resident’s privacy or property: </w:t>
      </w:r>
      <w:r w:rsidRPr="00BB3634">
        <w:rPr>
          <w:i/>
        </w:rPr>
        <w:t>R v Davidson, </w:t>
      </w:r>
      <w:hyperlink r:id="rId196" w:tgtFrame="_blank" w:history="1">
        <w:r w:rsidRPr="00BB3634">
          <w:rPr>
            <w:u w:val="single"/>
          </w:rPr>
          <w:t>2017 ONCA 257</w:t>
        </w:r>
      </w:hyperlink>
      <w:r w:rsidRPr="00BB3634">
        <w:t> at paras 22-27</w:t>
      </w:r>
    </w:p>
    <w:p w14:paraId="04188357" w14:textId="77777777" w:rsidR="00BF14D7" w:rsidRPr="00BB3634" w:rsidRDefault="00BF14D7" w:rsidP="000B18E5">
      <w:pPr>
        <w:pStyle w:val="NoSpacing"/>
      </w:pPr>
      <w:r w:rsidRPr="00BB3634">
        <w:t>​</w:t>
      </w:r>
    </w:p>
    <w:p w14:paraId="54956278" w14:textId="1A5417C7" w:rsidR="00BF14D7" w:rsidRPr="00BB3634" w:rsidRDefault="00BF14D7" w:rsidP="000B18E5">
      <w:pPr>
        <w:pStyle w:val="NoSpacing"/>
      </w:pPr>
      <w:r w:rsidRPr="00BB3634">
        <w:t>In </w:t>
      </w:r>
      <w:r w:rsidRPr="00BB3634">
        <w:rPr>
          <w:i/>
        </w:rPr>
        <w:t>Davidson, </w:t>
      </w:r>
      <w:r w:rsidRPr="00BB3634">
        <w:t>the Court of Appeal found that the police warrantless entry into the home was not justified by exigent circumstances. The entry was therefore unlawful and the evidence discovered as a result of that entry, drugs, was excluded. </w:t>
      </w:r>
    </w:p>
    <w:p w14:paraId="01EF7D60" w14:textId="02A5C808" w:rsidR="00BF14D7" w:rsidRPr="00BB3634" w:rsidRDefault="00BF14D7" w:rsidP="00BB3634">
      <w:pPr>
        <w:spacing w:line="276" w:lineRule="auto"/>
        <w:jc w:val="both"/>
        <w:textAlignment w:val="baseline"/>
        <w:rPr>
          <w:rFonts w:ascii="Arial" w:hAnsi="Arial" w:cs="Arial"/>
          <w:b/>
          <w:bCs/>
          <w:bdr w:val="none" w:sz="0" w:space="0" w:color="auto" w:frame="1"/>
        </w:rPr>
      </w:pPr>
      <w:r w:rsidRPr="00BB3634">
        <w:rPr>
          <w:rFonts w:ascii="Arial" w:hAnsi="Arial" w:cs="Arial"/>
          <w:b/>
          <w:bCs/>
          <w:bdr w:val="none" w:sz="0" w:space="0" w:color="auto" w:frame="1"/>
        </w:rPr>
        <w:t>​</w:t>
      </w:r>
    </w:p>
    <w:p w14:paraId="184DC483" w14:textId="77777777" w:rsidR="005956AC" w:rsidRPr="00BB3634" w:rsidRDefault="005956AC" w:rsidP="00BB3634">
      <w:pPr>
        <w:spacing w:line="276" w:lineRule="auto"/>
        <w:jc w:val="both"/>
        <w:textAlignment w:val="baseline"/>
        <w:rPr>
          <w:rFonts w:ascii="Arial" w:hAnsi="Arial" w:cs="Arial"/>
          <w:b/>
          <w:bCs/>
        </w:rPr>
      </w:pPr>
    </w:p>
    <w:p w14:paraId="5BA96EF1" w14:textId="77777777" w:rsidR="00BF14D7" w:rsidRPr="00BB3634" w:rsidRDefault="00BF14D7" w:rsidP="00BB3634">
      <w:pPr>
        <w:pStyle w:val="Heading2"/>
        <w:spacing w:line="276" w:lineRule="auto"/>
        <w:rPr>
          <w:rFonts w:cs="Arial"/>
        </w:rPr>
      </w:pPr>
      <w:bookmarkStart w:id="72" w:name="_Toc94360153"/>
      <w:r w:rsidRPr="00BB3634">
        <w:rPr>
          <w:rFonts w:cs="Arial"/>
        </w:rPr>
        <w:t>Motor Vehicle Searches</w:t>
      </w:r>
      <w:bookmarkEnd w:id="72"/>
    </w:p>
    <w:p w14:paraId="0E11EDB2" w14:textId="77777777" w:rsidR="00BF14D7" w:rsidRPr="00BB3634" w:rsidRDefault="00BF14D7" w:rsidP="00BB3634">
      <w:pPr>
        <w:spacing w:line="276" w:lineRule="auto"/>
        <w:textAlignment w:val="baseline"/>
        <w:rPr>
          <w:rFonts w:ascii="Arial" w:hAnsi="Arial" w:cs="Arial"/>
        </w:rPr>
      </w:pPr>
      <w:r w:rsidRPr="00BB3634">
        <w:rPr>
          <w:rFonts w:ascii="Arial" w:hAnsi="Arial" w:cs="Arial"/>
        </w:rPr>
        <w:t> </w:t>
      </w:r>
    </w:p>
    <w:p w14:paraId="60D87D7C" w14:textId="0CBC54F3" w:rsidR="00BF14D7" w:rsidRPr="00BB3634" w:rsidRDefault="00BF14D7" w:rsidP="000B18E5">
      <w:pPr>
        <w:pStyle w:val="NoSpacing"/>
      </w:pPr>
      <w:r w:rsidRPr="00BB3634">
        <w:t xml:space="preserve">Where the police conduct a valid HTA stop and thereafter legitimately form reasonable and probable grounds to arrest and search a vehicle, the fact that the police had a dual HTA/criminal purpose at the very outset of the stop does not </w:t>
      </w:r>
      <w:r w:rsidRPr="00BB3634">
        <w:lastRenderedPageBreak/>
        <w:t>taint the lawfulness of the initial stop and detention: </w:t>
      </w:r>
      <w:r w:rsidRPr="00BB3634">
        <w:rPr>
          <w:i/>
        </w:rPr>
        <w:t xml:space="preserve">R v </w:t>
      </w:r>
      <w:r w:rsidR="0089661F">
        <w:rPr>
          <w:i/>
        </w:rPr>
        <w:t>Shipley</w:t>
      </w:r>
      <w:r w:rsidRPr="00BB3634">
        <w:rPr>
          <w:i/>
        </w:rPr>
        <w:t>, </w:t>
      </w:r>
      <w:r w:rsidR="0089661F">
        <w:t>2015 ONCA 914, at para 6</w:t>
      </w:r>
      <w:r w:rsidRPr="00BB3634">
        <w:t> </w:t>
      </w:r>
    </w:p>
    <w:p w14:paraId="6C52E43F" w14:textId="77777777" w:rsidR="00BF14D7" w:rsidRPr="00BB3634" w:rsidRDefault="00BF14D7" w:rsidP="000B18E5">
      <w:pPr>
        <w:pStyle w:val="NoSpacing"/>
      </w:pPr>
      <w:r w:rsidRPr="00BB3634">
        <w:t> </w:t>
      </w:r>
    </w:p>
    <w:p w14:paraId="430B3BCC" w14:textId="77777777" w:rsidR="00BF14D7" w:rsidRPr="00BB3634" w:rsidRDefault="00BF14D7" w:rsidP="000B18E5">
      <w:pPr>
        <w:pStyle w:val="NoSpacing"/>
      </w:pPr>
      <w:r w:rsidRPr="00BB3634">
        <w:t>The police decision to call a tow truck to remove a vehicle does not justify an inventory search in every case: </w:t>
      </w:r>
      <w:r w:rsidRPr="00BB3634">
        <w:rPr>
          <w:i/>
        </w:rPr>
        <w:t>R v Harflett, </w:t>
      </w:r>
      <w:hyperlink r:id="rId197" w:tgtFrame="_blank" w:history="1">
        <w:r w:rsidRPr="00BB3634">
          <w:rPr>
            <w:u w:val="single"/>
          </w:rPr>
          <w:t>2016 ONCA 248</w:t>
        </w:r>
      </w:hyperlink>
      <w:r w:rsidRPr="00BB3634">
        <w:t> at para 29-30</w:t>
      </w:r>
    </w:p>
    <w:p w14:paraId="6F9A5423" w14:textId="7C568085" w:rsidR="00721C1C" w:rsidRDefault="00721C1C" w:rsidP="00BB3634">
      <w:pPr>
        <w:spacing w:line="276" w:lineRule="auto"/>
        <w:jc w:val="both"/>
        <w:textAlignment w:val="baseline"/>
        <w:rPr>
          <w:rFonts w:ascii="Arial" w:hAnsi="Arial" w:cs="Arial"/>
        </w:rPr>
      </w:pPr>
    </w:p>
    <w:p w14:paraId="1D8D6AA0" w14:textId="77777777" w:rsidR="00BB3634" w:rsidRPr="00BB3634" w:rsidRDefault="00BB3634" w:rsidP="00BB3634">
      <w:pPr>
        <w:spacing w:line="276" w:lineRule="auto"/>
        <w:jc w:val="both"/>
        <w:textAlignment w:val="baseline"/>
        <w:rPr>
          <w:rFonts w:ascii="Arial" w:hAnsi="Arial" w:cs="Arial"/>
        </w:rPr>
      </w:pPr>
    </w:p>
    <w:p w14:paraId="0917F5ED" w14:textId="631E0412" w:rsidR="00BF14D7" w:rsidRPr="00BB3634" w:rsidRDefault="00BF14D7" w:rsidP="00BB3634">
      <w:pPr>
        <w:pStyle w:val="Heading2"/>
        <w:spacing w:line="276" w:lineRule="auto"/>
        <w:rPr>
          <w:rFonts w:cs="Arial"/>
        </w:rPr>
      </w:pPr>
      <w:bookmarkStart w:id="73" w:name="_Toc94360154"/>
      <w:r w:rsidRPr="00BB3634">
        <w:rPr>
          <w:rFonts w:cs="Arial"/>
        </w:rPr>
        <w:t>Border-Searches</w:t>
      </w:r>
      <w:bookmarkEnd w:id="73"/>
    </w:p>
    <w:p w14:paraId="77423E44" w14:textId="77777777" w:rsidR="00BF14D7" w:rsidRPr="00BB3634" w:rsidRDefault="00BF14D7" w:rsidP="000B18E5">
      <w:pPr>
        <w:pStyle w:val="NoSpacing"/>
      </w:pPr>
      <w:r w:rsidRPr="00BB3634">
        <w:t>Persons arriving at the border have a reduced expectation of privacy. Because of individuals' reduced expectation of privacy at the border, section 8 is not engaged by routine questioning and luggage searhes: </w:t>
      </w:r>
      <w:r w:rsidRPr="00BB3634">
        <w:rPr>
          <w:i/>
        </w:rPr>
        <w:t>R v Johnson, </w:t>
      </w:r>
      <w:hyperlink r:id="rId198" w:tgtFrame="_blank" w:history="1">
        <w:r w:rsidRPr="00BB3634">
          <w:rPr>
            <w:u w:val="single"/>
          </w:rPr>
          <w:t>2016 ONCA 31</w:t>
        </w:r>
      </w:hyperlink>
      <w:r w:rsidRPr="00BB3634">
        <w:t> at paras 16, 23</w:t>
      </w:r>
    </w:p>
    <w:p w14:paraId="435BA73F" w14:textId="77777777" w:rsidR="00BF14D7" w:rsidRPr="00BB3634" w:rsidRDefault="00BF14D7" w:rsidP="000B18E5">
      <w:pPr>
        <w:pStyle w:val="NoSpacing"/>
      </w:pPr>
      <w:r w:rsidRPr="00BB3634">
        <w:t> </w:t>
      </w:r>
    </w:p>
    <w:p w14:paraId="2E2BEF22" w14:textId="2622A87C" w:rsidR="00BF14D7" w:rsidRPr="00BB3634" w:rsidRDefault="00BF14D7" w:rsidP="000B18E5">
      <w:pPr>
        <w:pStyle w:val="NoSpacing"/>
      </w:pPr>
      <w:r w:rsidRPr="00BB3634">
        <w:t>Section 8 is not engaged by a routine dog-sniff search at the border, which falls within the cat</w:t>
      </w:r>
      <w:r w:rsidR="002540AB">
        <w:t>e</w:t>
      </w:r>
      <w:r w:rsidRPr="00BB3634">
        <w:t>gory of routine border-searches that attract no reasonable expectation of privacy: </w:t>
      </w:r>
      <w:r w:rsidRPr="00BB3634">
        <w:rPr>
          <w:i/>
        </w:rPr>
        <w:t>R v Johnson, </w:t>
      </w:r>
      <w:hyperlink r:id="rId199" w:tgtFrame="_blank" w:history="1">
        <w:r w:rsidRPr="00BB3634">
          <w:rPr>
            <w:u w:val="single"/>
          </w:rPr>
          <w:t>2016 ONCA 31</w:t>
        </w:r>
      </w:hyperlink>
      <w:r w:rsidRPr="00BB3634">
        <w:t>at paras 22, 24-26. However, a dog-sniff search that is specifically targeted towards a suspect at the border is distinguishable and may engage s.8 of the Charter: </w:t>
      </w:r>
      <w:r w:rsidRPr="00BB3634">
        <w:rPr>
          <w:i/>
        </w:rPr>
        <w:t>R v Johnson, </w:t>
      </w:r>
      <w:hyperlink r:id="rId200" w:tgtFrame="_blank" w:history="1">
        <w:r w:rsidRPr="00BB3634">
          <w:rPr>
            <w:u w:val="single"/>
          </w:rPr>
          <w:t>2016 ONCA 31</w:t>
        </w:r>
      </w:hyperlink>
      <w:r w:rsidRPr="00BB3634">
        <w:t> at para 27 </w:t>
      </w:r>
    </w:p>
    <w:p w14:paraId="1A54678A" w14:textId="62EF5AA3" w:rsidR="00BF14D7" w:rsidRPr="00BB3634" w:rsidRDefault="00BF14D7" w:rsidP="000B18E5">
      <w:pPr>
        <w:pStyle w:val="NoSpacing"/>
      </w:pPr>
      <w:r w:rsidRPr="00BB3634">
        <w:t> </w:t>
      </w:r>
    </w:p>
    <w:p w14:paraId="3F0BB914" w14:textId="598FC898" w:rsidR="00BF14D7" w:rsidRPr="00BB3634" w:rsidRDefault="00BF14D7" w:rsidP="007A6720">
      <w:pPr>
        <w:pStyle w:val="Heading3"/>
        <w:numPr>
          <w:ilvl w:val="0"/>
          <w:numId w:val="15"/>
        </w:numPr>
      </w:pPr>
      <w:bookmarkStart w:id="74" w:name="_Toc94360155"/>
      <w:r w:rsidRPr="00BB3634">
        <w:t>Manner of Execution of a Search</w:t>
      </w:r>
      <w:bookmarkEnd w:id="74"/>
    </w:p>
    <w:p w14:paraId="3FC80A6F" w14:textId="77777777" w:rsidR="00BF14D7" w:rsidRPr="00BB3634" w:rsidRDefault="00BF14D7" w:rsidP="000B18E5">
      <w:pPr>
        <w:pStyle w:val="NoSpacing"/>
      </w:pPr>
      <w:r w:rsidRPr="00BB3634">
        <w:t>In an assessment of the manner in which a search has been executed, a reviewing court balances the rights of suspects, on the one hand, with the requirements of safe and effective law enforcement, on the other. </w:t>
      </w:r>
    </w:p>
    <w:p w14:paraId="784519D0" w14:textId="77777777" w:rsidR="00BF14D7" w:rsidRPr="00BB3634" w:rsidRDefault="00BF14D7" w:rsidP="000B18E5">
      <w:pPr>
        <w:pStyle w:val="NoSpacing"/>
      </w:pPr>
      <w:r w:rsidRPr="00BB3634">
        <w:t> </w:t>
      </w:r>
    </w:p>
    <w:p w14:paraId="0DFC4A6F" w14:textId="77777777" w:rsidR="00BF14D7" w:rsidRPr="00BB3634" w:rsidRDefault="00BF14D7" w:rsidP="000B18E5">
      <w:pPr>
        <w:pStyle w:val="NoSpacing"/>
      </w:pPr>
      <w:r w:rsidRPr="00BB3634">
        <w:t>Police decisions about the manner in which a search will be carried out fall to be adjudged by what was or should reasonably have been known to them at the time the search was conducted, not through the lens of how things turned out to be. Police are entitled to some latitude on how they decide to enter premises under a warrant. Omniscience is not a prerequisite for a search to be conducted in a reasonable manner: </w:t>
      </w:r>
      <w:r w:rsidRPr="00BB3634">
        <w:rPr>
          <w:i/>
        </w:rPr>
        <w:t>R v Rutledge, </w:t>
      </w:r>
      <w:hyperlink r:id="rId201" w:tgtFrame="_blank" w:history="1">
        <w:r w:rsidRPr="00BB3634">
          <w:rPr>
            <w:u w:val="single"/>
          </w:rPr>
          <w:t>2017 ONCA 635</w:t>
        </w:r>
      </w:hyperlink>
      <w:r w:rsidRPr="00BB3634">
        <w:t> at paras 25-26</w:t>
      </w:r>
    </w:p>
    <w:p w14:paraId="446B76A9" w14:textId="6639B258" w:rsidR="00BF14D7" w:rsidRPr="00BB3634" w:rsidRDefault="00BF14D7" w:rsidP="000B18E5">
      <w:pPr>
        <w:pStyle w:val="NoSpacing"/>
      </w:pPr>
      <w:r w:rsidRPr="00BB3634">
        <w:t>​</w:t>
      </w:r>
    </w:p>
    <w:p w14:paraId="37A09CB5" w14:textId="0DB9C244" w:rsidR="0055162B" w:rsidRPr="00BB3634" w:rsidRDefault="0055162B" w:rsidP="00BB3634">
      <w:pPr>
        <w:pStyle w:val="Heading2"/>
        <w:spacing w:line="276" w:lineRule="auto"/>
        <w:rPr>
          <w:rFonts w:cs="Arial"/>
        </w:rPr>
      </w:pPr>
      <w:bookmarkStart w:id="75" w:name="_Toc94360156"/>
      <w:r w:rsidRPr="00BB3634">
        <w:rPr>
          <w:rFonts w:cs="Arial"/>
        </w:rPr>
        <w:t>Bodily Searches</w:t>
      </w:r>
      <w:bookmarkEnd w:id="75"/>
    </w:p>
    <w:p w14:paraId="27B71E1C" w14:textId="163939BC" w:rsidR="00BB3634" w:rsidRDefault="0055162B" w:rsidP="00DC5155">
      <w:pPr>
        <w:pStyle w:val="NoSpacing"/>
      </w:pPr>
      <w:r w:rsidRPr="00BB3634">
        <w:lastRenderedPageBreak/>
        <w:t xml:space="preserve">For an overview of the jurisprudence relating to </w:t>
      </w:r>
      <w:r w:rsidR="00E84916" w:rsidRPr="00BB3634">
        <w:t xml:space="preserve">police officers’ seizure of blood samples taken at the hospital, see </w:t>
      </w:r>
      <w:r w:rsidR="00E84916" w:rsidRPr="00BB3634">
        <w:rPr>
          <w:i/>
        </w:rPr>
        <w:t xml:space="preserve">R v Culotta, </w:t>
      </w:r>
      <w:hyperlink r:id="rId202" w:history="1">
        <w:r w:rsidR="00E84916" w:rsidRPr="00BB3634">
          <w:rPr>
            <w:rStyle w:val="Hyperlink"/>
          </w:rPr>
          <w:t>2018 ONCA 665</w:t>
        </w:r>
      </w:hyperlink>
      <w:r w:rsidR="00E84916" w:rsidRPr="00BB3634">
        <w:t>, especially the dissenting opinion of Pardu J.A.</w:t>
      </w:r>
    </w:p>
    <w:p w14:paraId="1AF3968C" w14:textId="77777777" w:rsidR="00BB3634" w:rsidRPr="00BB3634" w:rsidRDefault="00BB3634" w:rsidP="00BB3634">
      <w:pPr>
        <w:spacing w:line="276" w:lineRule="auto"/>
        <w:rPr>
          <w:rFonts w:ascii="Arial" w:hAnsi="Arial" w:cs="Arial"/>
        </w:rPr>
      </w:pPr>
    </w:p>
    <w:p w14:paraId="54339163" w14:textId="4CF84F90" w:rsidR="00BF14D7" w:rsidRPr="00BB3634" w:rsidRDefault="00BF14D7" w:rsidP="00BB3634">
      <w:pPr>
        <w:pStyle w:val="Heading2"/>
        <w:spacing w:line="276" w:lineRule="auto"/>
        <w:rPr>
          <w:rFonts w:cs="Arial"/>
        </w:rPr>
      </w:pPr>
      <w:bookmarkStart w:id="76" w:name="_Toc94360157"/>
      <w:r w:rsidRPr="00BB3634">
        <w:rPr>
          <w:rFonts w:cs="Arial"/>
        </w:rPr>
        <w:t>Production Orders</w:t>
      </w:r>
      <w:bookmarkEnd w:id="76"/>
    </w:p>
    <w:p w14:paraId="4E2BD5F3" w14:textId="77777777" w:rsidR="00B1114B" w:rsidRPr="00BB3634" w:rsidRDefault="00B1114B" w:rsidP="00BB3634">
      <w:pPr>
        <w:spacing w:line="276" w:lineRule="auto"/>
        <w:rPr>
          <w:rFonts w:ascii="Arial" w:hAnsi="Arial" w:cs="Arial"/>
        </w:rPr>
      </w:pPr>
    </w:p>
    <w:p w14:paraId="70841C90" w14:textId="368066DB" w:rsidR="00BF14D7" w:rsidRPr="00BB3634" w:rsidRDefault="00BF14D7" w:rsidP="007A6720">
      <w:pPr>
        <w:pStyle w:val="Heading3"/>
        <w:numPr>
          <w:ilvl w:val="0"/>
          <w:numId w:val="44"/>
        </w:numPr>
      </w:pPr>
      <w:bookmarkStart w:id="77" w:name="_Toc94360158"/>
      <w:r w:rsidRPr="00BB3634">
        <w:t>Challenging a Production Order</w:t>
      </w:r>
      <w:bookmarkEnd w:id="77"/>
    </w:p>
    <w:p w14:paraId="59EC5DB5" w14:textId="483E7232" w:rsidR="00BF14D7" w:rsidRPr="00BB3634" w:rsidRDefault="00BF14D7" w:rsidP="00BB3634">
      <w:pPr>
        <w:pStyle w:val="Heading4"/>
        <w:numPr>
          <w:ilvl w:val="0"/>
          <w:numId w:val="16"/>
        </w:numPr>
        <w:spacing w:line="276" w:lineRule="auto"/>
        <w:rPr>
          <w:rFonts w:cs="Arial"/>
          <w:i/>
          <w:sz w:val="24"/>
          <w:szCs w:val="24"/>
        </w:rPr>
      </w:pPr>
      <w:r w:rsidRPr="00BB3634">
        <w:rPr>
          <w:rFonts w:cs="Arial"/>
          <w:sz w:val="24"/>
          <w:szCs w:val="24"/>
        </w:rPr>
        <w:t>The Test</w:t>
      </w:r>
    </w:p>
    <w:p w14:paraId="1EAFC8E6" w14:textId="77777777" w:rsidR="00D75E69" w:rsidRPr="00BB3634" w:rsidRDefault="00D75E69" w:rsidP="000B18E5">
      <w:pPr>
        <w:pStyle w:val="NoSpacing"/>
      </w:pPr>
    </w:p>
    <w:p w14:paraId="5BD3C105" w14:textId="77777777" w:rsidR="00BF14D7" w:rsidRPr="00BB3634" w:rsidRDefault="00BF14D7" w:rsidP="000B18E5">
      <w:pPr>
        <w:pStyle w:val="NoSpacing"/>
      </w:pPr>
      <w:r w:rsidRPr="00BB3634">
        <w:t>The enabling warrant or order is presumed to be valid, but this presumption is rebuttable: </w:t>
      </w:r>
      <w:r w:rsidRPr="00BB3634">
        <w:rPr>
          <w:i/>
        </w:rPr>
        <w:t>R v Nero, </w:t>
      </w:r>
      <w:hyperlink r:id="rId203" w:tgtFrame="_blank" w:history="1">
        <w:r w:rsidRPr="00BB3634">
          <w:rPr>
            <w:u w:val="single"/>
          </w:rPr>
          <w:t>2016 ONCA 160</w:t>
        </w:r>
      </w:hyperlink>
      <w:r w:rsidRPr="00BB3634">
        <w:t> at para 68</w:t>
      </w:r>
    </w:p>
    <w:p w14:paraId="6163DE83" w14:textId="151BAA9A" w:rsidR="00BF14D7" w:rsidRPr="00BB3634" w:rsidRDefault="00BF14D7" w:rsidP="00BB3634">
      <w:pPr>
        <w:spacing w:line="276" w:lineRule="auto"/>
        <w:jc w:val="both"/>
        <w:textAlignment w:val="baseline"/>
        <w:rPr>
          <w:rFonts w:ascii="Arial" w:hAnsi="Arial" w:cs="Arial"/>
        </w:rPr>
      </w:pPr>
      <w:r w:rsidRPr="00BB3634">
        <w:rPr>
          <w:rFonts w:ascii="Arial" w:hAnsi="Arial" w:cs="Arial"/>
        </w:rPr>
        <w:t> </w:t>
      </w:r>
    </w:p>
    <w:p w14:paraId="1F4FAA0C" w14:textId="662F8CCA" w:rsidR="00BF14D7" w:rsidRPr="00BB3634" w:rsidRDefault="00BF14D7" w:rsidP="00BB3634">
      <w:pPr>
        <w:pStyle w:val="Heading4"/>
        <w:spacing w:line="276" w:lineRule="auto"/>
        <w:rPr>
          <w:rFonts w:cs="Arial"/>
          <w:i/>
          <w:sz w:val="24"/>
          <w:szCs w:val="24"/>
        </w:rPr>
      </w:pPr>
      <w:r w:rsidRPr="00BB3634">
        <w:rPr>
          <w:rFonts w:cs="Arial"/>
          <w:sz w:val="24"/>
          <w:szCs w:val="24"/>
        </w:rPr>
        <w:t>Standing to Challenge</w:t>
      </w:r>
    </w:p>
    <w:p w14:paraId="49391D04" w14:textId="77777777" w:rsidR="00D75E69" w:rsidRPr="00BB3634" w:rsidRDefault="00D75E69" w:rsidP="000B18E5">
      <w:pPr>
        <w:pStyle w:val="NoSpacing"/>
      </w:pPr>
    </w:p>
    <w:p w14:paraId="3712DC7E" w14:textId="5DD24D68" w:rsidR="00BF14D7" w:rsidRPr="002540AB" w:rsidRDefault="00BF14D7" w:rsidP="000B18E5">
      <w:pPr>
        <w:pStyle w:val="NoSpacing"/>
      </w:pPr>
      <w:r w:rsidRPr="00BB3634">
        <w:t>In </w:t>
      </w:r>
      <w:r w:rsidRPr="00BB3634">
        <w:rPr>
          <w:i/>
        </w:rPr>
        <w:t>Jones,</w:t>
      </w:r>
      <w:r w:rsidR="00F9425E" w:rsidRPr="00BB3634">
        <w:rPr>
          <w:i/>
        </w:rPr>
        <w:t xml:space="preserve"> </w:t>
      </w:r>
      <w:hyperlink r:id="rId204" w:history="1">
        <w:r w:rsidR="00F9425E" w:rsidRPr="00BB3634">
          <w:rPr>
            <w:rStyle w:val="Hyperlink"/>
          </w:rPr>
          <w:t>2017 SCC 60</w:t>
        </w:r>
        <w:r w:rsidRPr="00BB3634">
          <w:rPr>
            <w:rStyle w:val="Hyperlink"/>
            <w:i/>
          </w:rPr>
          <w:t> </w:t>
        </w:r>
      </w:hyperlink>
      <w:r w:rsidRPr="00BB3634">
        <w:t xml:space="preserve">the </w:t>
      </w:r>
      <w:r w:rsidR="00F9425E" w:rsidRPr="00BB3634">
        <w:t>Supreme Court held that it is objectively reasonable for the sender of a text message to expect that a service provider will maintain privacy over the records of his or her text messages stored in its infrastructure, but that the accused’s rights were not violated because the text messages were legitimately seized by police pursuant to a production order.</w:t>
      </w:r>
    </w:p>
    <w:p w14:paraId="3E55F46C" w14:textId="028E98FF" w:rsidR="005956AC" w:rsidRPr="00BB3634" w:rsidRDefault="005956AC" w:rsidP="00BB3634">
      <w:pPr>
        <w:spacing w:line="276" w:lineRule="auto"/>
        <w:jc w:val="both"/>
        <w:textAlignment w:val="baseline"/>
        <w:rPr>
          <w:rFonts w:ascii="Arial" w:hAnsi="Arial" w:cs="Arial"/>
          <w:b/>
          <w:bCs/>
          <w:bdr w:val="none" w:sz="0" w:space="0" w:color="auto" w:frame="1"/>
        </w:rPr>
      </w:pPr>
    </w:p>
    <w:p w14:paraId="3390263C" w14:textId="77777777" w:rsidR="005956AC" w:rsidRPr="00BB3634" w:rsidRDefault="005956AC" w:rsidP="00BB3634">
      <w:pPr>
        <w:spacing w:line="276" w:lineRule="auto"/>
        <w:jc w:val="both"/>
        <w:textAlignment w:val="baseline"/>
        <w:rPr>
          <w:rFonts w:ascii="Arial" w:hAnsi="Arial" w:cs="Arial"/>
        </w:rPr>
      </w:pPr>
    </w:p>
    <w:p w14:paraId="758ED2E8" w14:textId="57871211" w:rsidR="00BF14D7" w:rsidRPr="00BB3634" w:rsidRDefault="00BF14D7" w:rsidP="00BB3634">
      <w:pPr>
        <w:pStyle w:val="Heading4"/>
        <w:spacing w:line="276" w:lineRule="auto"/>
        <w:rPr>
          <w:rFonts w:cs="Arial"/>
          <w:i/>
          <w:sz w:val="24"/>
          <w:szCs w:val="24"/>
        </w:rPr>
      </w:pPr>
      <w:r w:rsidRPr="00BB3634">
        <w:rPr>
          <w:rFonts w:cs="Arial"/>
          <w:sz w:val="24"/>
          <w:szCs w:val="24"/>
        </w:rPr>
        <w:t>General Principles</w:t>
      </w:r>
    </w:p>
    <w:p w14:paraId="73CCFDB9" w14:textId="77777777" w:rsidR="00D75E69" w:rsidRPr="00BB3634" w:rsidRDefault="00D75E69" w:rsidP="000B18E5">
      <w:pPr>
        <w:pStyle w:val="NoSpacing"/>
      </w:pPr>
    </w:p>
    <w:p w14:paraId="454B51AA" w14:textId="10F26656" w:rsidR="004B1540" w:rsidRPr="00BB3634" w:rsidRDefault="004B1540" w:rsidP="000B18E5">
      <w:pPr>
        <w:pStyle w:val="NoSpacing"/>
        <w:rPr>
          <w:i/>
        </w:rPr>
      </w:pPr>
      <w:r w:rsidRPr="00BB3634">
        <w:t xml:space="preserve">A production order should outline specifically the records being sought so that there is no confusion between what the police seek, and what the recipient provides: </w:t>
      </w:r>
      <w:r w:rsidRPr="00BB3634">
        <w:rPr>
          <w:i/>
        </w:rPr>
        <w:t xml:space="preserve">R v Baskaran, </w:t>
      </w:r>
      <w:hyperlink r:id="rId205" w:history="1">
        <w:r w:rsidRPr="00BB3634">
          <w:rPr>
            <w:rStyle w:val="Hyperlink"/>
          </w:rPr>
          <w:t>2020 ONCA 25</w:t>
        </w:r>
      </w:hyperlink>
      <w:r w:rsidRPr="00BB3634">
        <w:t>, at para 25</w:t>
      </w:r>
    </w:p>
    <w:p w14:paraId="725C80B9" w14:textId="77777777" w:rsidR="004B1540" w:rsidRPr="00BB3634" w:rsidRDefault="004B1540" w:rsidP="000B18E5">
      <w:pPr>
        <w:pStyle w:val="NoSpacing"/>
      </w:pPr>
    </w:p>
    <w:p w14:paraId="033E160E" w14:textId="15EAF8EE" w:rsidR="00BF14D7" w:rsidRPr="00BB3634" w:rsidRDefault="00BF14D7" w:rsidP="000B18E5">
      <w:pPr>
        <w:pStyle w:val="NoSpacing"/>
      </w:pPr>
      <w:r w:rsidRPr="00BB3634">
        <w:t>Like the authorizing justice, the reviewing judge is entitled to draw reasonable inferences from the contents of the ITO. That an item of evidence in the ITO may support more than one inference, or even a contrary inference to one supportive of a condition precedent, is of no moment: </w:t>
      </w:r>
      <w:r w:rsidRPr="00BB3634">
        <w:rPr>
          <w:i/>
        </w:rPr>
        <w:t>Nero </w:t>
      </w:r>
      <w:r w:rsidRPr="00BB3634">
        <w:t>at para 71</w:t>
      </w:r>
    </w:p>
    <w:p w14:paraId="6AFFEBB0" w14:textId="7701A1EA" w:rsidR="004B1540" w:rsidRPr="00BB3634" w:rsidRDefault="004B1540" w:rsidP="000B18E5">
      <w:pPr>
        <w:pStyle w:val="NoSpacing"/>
      </w:pPr>
    </w:p>
    <w:p w14:paraId="67CE2914" w14:textId="0C32DA3C" w:rsidR="004B1540" w:rsidRPr="00BB3634" w:rsidRDefault="004B1540" w:rsidP="000B18E5">
      <w:pPr>
        <w:pStyle w:val="NoSpacing"/>
      </w:pPr>
      <w:r w:rsidRPr="00BB3634">
        <w:t xml:space="preserve">In </w:t>
      </w:r>
      <w:r w:rsidRPr="00BB3634">
        <w:rPr>
          <w:i/>
        </w:rPr>
        <w:t xml:space="preserve">Baskaran, </w:t>
      </w:r>
      <w:r w:rsidRPr="00BB3634">
        <w:t xml:space="preserve">for example, the Court of Appeal upheld the trial judge’s common sense inference that cell phones were used in the commission of an offence: </w:t>
      </w:r>
      <w:hyperlink r:id="rId206" w:history="1">
        <w:r w:rsidRPr="00BB3634">
          <w:rPr>
            <w:rStyle w:val="Hyperlink"/>
          </w:rPr>
          <w:t>2020 ONCA 25</w:t>
        </w:r>
      </w:hyperlink>
      <w:r w:rsidRPr="00BB3634">
        <w:t>, at paras 14-15</w:t>
      </w:r>
    </w:p>
    <w:p w14:paraId="1A2EA376" w14:textId="77777777" w:rsidR="00D75E69" w:rsidRPr="00BB3634" w:rsidRDefault="00D75E69" w:rsidP="000B18E5">
      <w:pPr>
        <w:pStyle w:val="NoSpacing"/>
      </w:pPr>
    </w:p>
    <w:p w14:paraId="7FE0CFA7" w14:textId="77777777" w:rsidR="00BF14D7" w:rsidRPr="00BB3634" w:rsidRDefault="00BF14D7" w:rsidP="000B18E5">
      <w:pPr>
        <w:pStyle w:val="NoSpacing"/>
      </w:pPr>
      <w:r w:rsidRPr="00BB3634">
        <w:t>Inaccuracies and omissions in the ITO are not, without more, fatal to the adequacy of the material to establish the necessary conditions precedent: </w:t>
      </w:r>
      <w:r w:rsidRPr="00BB3634">
        <w:rPr>
          <w:i/>
        </w:rPr>
        <w:t>Nero</w:t>
      </w:r>
      <w:r w:rsidRPr="00BB3634">
        <w:t> at para 72</w:t>
      </w:r>
    </w:p>
    <w:p w14:paraId="6E8B3F31" w14:textId="77777777" w:rsidR="00BF14D7" w:rsidRPr="00BB3634" w:rsidRDefault="00BF14D7" w:rsidP="000B18E5">
      <w:pPr>
        <w:pStyle w:val="NoSpacing"/>
      </w:pPr>
      <w:r w:rsidRPr="00BB3634">
        <w:t>​</w:t>
      </w:r>
    </w:p>
    <w:p w14:paraId="6F041F94" w14:textId="77777777" w:rsidR="00BF14D7" w:rsidRPr="00BB3634" w:rsidRDefault="00BF14D7" w:rsidP="000B18E5">
      <w:pPr>
        <w:pStyle w:val="NoSpacing"/>
      </w:pPr>
      <w:r w:rsidRPr="00BB3634">
        <w:t>The judge may consider documents relating to the order or warrant, any additional evidence adduced at the hearing and the submissions of counsel. The review requires a contextual analysis of the record: </w:t>
      </w:r>
      <w:r w:rsidRPr="00BB3634">
        <w:rPr>
          <w:i/>
        </w:rPr>
        <w:t>Nero </w:t>
      </w:r>
      <w:r w:rsidRPr="00BB3634">
        <w:t>at paras 67-68</w:t>
      </w:r>
    </w:p>
    <w:p w14:paraId="0C3C5672" w14:textId="77777777" w:rsidR="00BF14D7" w:rsidRPr="00BB3634" w:rsidRDefault="00BF14D7" w:rsidP="000B18E5">
      <w:pPr>
        <w:pStyle w:val="NoSpacing"/>
      </w:pPr>
      <w:r w:rsidRPr="00BB3634">
        <w:t>​</w:t>
      </w:r>
    </w:p>
    <w:p w14:paraId="01CD19A0" w14:textId="77777777" w:rsidR="00BF14D7" w:rsidRPr="00BB3634" w:rsidRDefault="00BF14D7" w:rsidP="000B18E5">
      <w:pPr>
        <w:pStyle w:val="NoSpacing"/>
      </w:pPr>
      <w:r w:rsidRPr="00BB3634">
        <w:t>Hearsay statements of a CI can provide reasonable and probable grounds to justify a production order: </w:t>
      </w:r>
      <w:r w:rsidRPr="00BB3634">
        <w:rPr>
          <w:i/>
        </w:rPr>
        <w:t>Nero </w:t>
      </w:r>
      <w:r w:rsidRPr="00BB3634">
        <w:t>at para 75</w:t>
      </w:r>
    </w:p>
    <w:p w14:paraId="345CCA2B" w14:textId="77777777" w:rsidR="00BF14D7" w:rsidRPr="00BB3634" w:rsidRDefault="00BF14D7" w:rsidP="000B18E5">
      <w:pPr>
        <w:pStyle w:val="NoSpacing"/>
      </w:pPr>
      <w:r w:rsidRPr="00BB3634">
        <w:t>​</w:t>
      </w:r>
    </w:p>
    <w:p w14:paraId="66C4B28E" w14:textId="3C179D19" w:rsidR="00BF14D7" w:rsidRPr="00BB3634" w:rsidRDefault="00BF14D7" w:rsidP="000B18E5">
      <w:pPr>
        <w:pStyle w:val="NoSpacing"/>
      </w:pPr>
      <w:r w:rsidRPr="00BB3634">
        <w:t>Corroboration is not required on every single detail, but the ITO should describe efforts to confirm the credibility and reliability of the source: </w:t>
      </w:r>
      <w:r w:rsidRPr="00BB3634">
        <w:rPr>
          <w:i/>
        </w:rPr>
        <w:t>Nero </w:t>
      </w:r>
      <w:r w:rsidRPr="00BB3634">
        <w:t>at para 76. </w:t>
      </w:r>
    </w:p>
    <w:p w14:paraId="70F295A1" w14:textId="77777777" w:rsidR="005956AC" w:rsidRPr="00BB3634" w:rsidRDefault="005956AC" w:rsidP="000B18E5">
      <w:pPr>
        <w:pStyle w:val="NoSpacing"/>
      </w:pPr>
    </w:p>
    <w:p w14:paraId="2302E7C0" w14:textId="77777777" w:rsidR="00BF14D7" w:rsidRPr="00BB3634" w:rsidRDefault="00BF14D7" w:rsidP="00BB3634">
      <w:pPr>
        <w:spacing w:line="276" w:lineRule="auto"/>
        <w:jc w:val="both"/>
        <w:textAlignment w:val="baseline"/>
        <w:rPr>
          <w:rFonts w:ascii="Arial" w:hAnsi="Arial" w:cs="Arial"/>
        </w:rPr>
      </w:pPr>
      <w:r w:rsidRPr="00BB3634">
        <w:rPr>
          <w:rFonts w:ascii="Arial" w:hAnsi="Arial" w:cs="Arial"/>
          <w:bCs/>
          <w:bdr w:val="none" w:sz="0" w:space="0" w:color="auto" w:frame="1"/>
        </w:rPr>
        <w:t>​</w:t>
      </w:r>
    </w:p>
    <w:p w14:paraId="1E811921" w14:textId="7F54FBF7" w:rsidR="00BF14D7" w:rsidRPr="00BB3634" w:rsidRDefault="00BF14D7" w:rsidP="00BB3634">
      <w:pPr>
        <w:pStyle w:val="Heading4"/>
        <w:spacing w:line="276" w:lineRule="auto"/>
        <w:rPr>
          <w:rFonts w:cs="Arial"/>
          <w:i/>
          <w:sz w:val="24"/>
          <w:szCs w:val="24"/>
        </w:rPr>
      </w:pPr>
      <w:r w:rsidRPr="00BB3634">
        <w:rPr>
          <w:rFonts w:cs="Arial"/>
          <w:sz w:val="24"/>
          <w:szCs w:val="24"/>
        </w:rPr>
        <w:t>Appeal</w:t>
      </w:r>
    </w:p>
    <w:p w14:paraId="59ADC960" w14:textId="77777777" w:rsidR="00BF14D7" w:rsidRPr="00BB3634" w:rsidRDefault="00BF14D7" w:rsidP="000B18E5">
      <w:pPr>
        <w:pStyle w:val="NoSpacing"/>
      </w:pPr>
      <w:r w:rsidRPr="00BB3634">
        <w:t>On appeal, deference is owed to the findings of fact made by the reviewing judge in his assessment of the record, as well as to his disposition of the s. 8 </w:t>
      </w:r>
      <w:r w:rsidRPr="00BB3634">
        <w:rPr>
          <w:i/>
        </w:rPr>
        <w:t>Charter</w:t>
      </w:r>
      <w:r w:rsidRPr="00BB3634">
        <w:t> challenge. In the absence of an error of law, a misapprehension of material evidence or a failure to consider relevant evidence, the appellate court should not interfere: </w:t>
      </w:r>
      <w:r w:rsidRPr="00BB3634">
        <w:rPr>
          <w:i/>
        </w:rPr>
        <w:t>Nero </w:t>
      </w:r>
      <w:r w:rsidRPr="00BB3634">
        <w:t>at para 74</w:t>
      </w:r>
    </w:p>
    <w:p w14:paraId="7B133F2A" w14:textId="77777777" w:rsidR="00BF14D7" w:rsidRPr="00BB3634" w:rsidRDefault="00BF14D7" w:rsidP="000B18E5">
      <w:pPr>
        <w:pStyle w:val="NoSpacing"/>
      </w:pPr>
      <w:r w:rsidRPr="00BB3634">
        <w:t> </w:t>
      </w:r>
    </w:p>
    <w:p w14:paraId="1696D548" w14:textId="2563419E" w:rsidR="00BF14D7" w:rsidRPr="00BB3634" w:rsidRDefault="00BF14D7" w:rsidP="000B18E5">
      <w:pPr>
        <w:pStyle w:val="NoSpacing"/>
      </w:pPr>
      <w:r w:rsidRPr="00BB3634">
        <w:t>The test or standard a reviewing judge is to apply is whether the ITOs contained sufficient reliable evidence that might reasonably be believed on the basis of which the authorizing justice could have concluded that the conditions precedent required to be established had been met: </w:t>
      </w:r>
      <w:r w:rsidRPr="00BB3634">
        <w:rPr>
          <w:i/>
        </w:rPr>
        <w:t>Nero </w:t>
      </w:r>
      <w:r w:rsidRPr="00BB3634">
        <w:t>at paras 66, 69, 70 </w:t>
      </w:r>
    </w:p>
    <w:p w14:paraId="6BD91540" w14:textId="77777777" w:rsidR="005956AC" w:rsidRPr="00BB3634" w:rsidRDefault="005956AC" w:rsidP="000B18E5">
      <w:pPr>
        <w:pStyle w:val="NoSpacing"/>
      </w:pPr>
    </w:p>
    <w:p w14:paraId="047D45BE" w14:textId="0B8CF38B" w:rsidR="00B1114B" w:rsidRPr="00BB3634" w:rsidRDefault="00B1114B" w:rsidP="007A6720">
      <w:pPr>
        <w:pStyle w:val="Heading3"/>
        <w:numPr>
          <w:ilvl w:val="0"/>
          <w:numId w:val="44"/>
        </w:numPr>
      </w:pPr>
      <w:bookmarkStart w:id="78" w:name="_Toc94360159"/>
      <w:r w:rsidRPr="00BB3634">
        <w:t>Text Messages</w:t>
      </w:r>
      <w:bookmarkEnd w:id="78"/>
    </w:p>
    <w:p w14:paraId="11A737A9" w14:textId="09D551DE" w:rsidR="00B1114B" w:rsidRPr="00BB3634" w:rsidRDefault="00B1114B" w:rsidP="000B18E5">
      <w:pPr>
        <w:pStyle w:val="NoSpacing"/>
      </w:pPr>
      <w:r w:rsidRPr="00BB3634">
        <w:t xml:space="preserve">Production orders may authorize the seizure of historical text messages. A production order must not, however, authorize the production of any text messages that are either not yet in existence or are still capable of delivery (i.e., in the transmission process) at the time the order is issued. This should be clear from the face of the order. A production order should not be used to sidestep the more stringent Part VI authorization requirements for intercepts: </w:t>
      </w:r>
      <w:r w:rsidRPr="00BB3634">
        <w:rPr>
          <w:i/>
        </w:rPr>
        <w:t xml:space="preserve">R v Jones, </w:t>
      </w:r>
      <w:hyperlink r:id="rId207" w:history="1">
        <w:r w:rsidRPr="00BB3634">
          <w:rPr>
            <w:rStyle w:val="Hyperlink"/>
          </w:rPr>
          <w:t>2017 SCC 60</w:t>
        </w:r>
      </w:hyperlink>
    </w:p>
    <w:p w14:paraId="48190FBB" w14:textId="77777777" w:rsidR="00B1114B" w:rsidRPr="00BB3634" w:rsidRDefault="00B1114B" w:rsidP="000B18E5">
      <w:pPr>
        <w:pStyle w:val="NoSpacing"/>
      </w:pPr>
    </w:p>
    <w:p w14:paraId="763F4C9A" w14:textId="307F24CC" w:rsidR="00BF14D7" w:rsidRPr="00BB3634" w:rsidRDefault="00BF14D7" w:rsidP="00BB3634">
      <w:pPr>
        <w:pStyle w:val="Heading2"/>
        <w:spacing w:line="276" w:lineRule="auto"/>
        <w:rPr>
          <w:rFonts w:cs="Arial"/>
        </w:rPr>
      </w:pPr>
      <w:bookmarkStart w:id="79" w:name="_Toc94360160"/>
      <w:r w:rsidRPr="00BB3634">
        <w:rPr>
          <w:rFonts w:cs="Arial"/>
        </w:rPr>
        <w:lastRenderedPageBreak/>
        <w:t>Number Production Warrants</w:t>
      </w:r>
      <w:bookmarkEnd w:id="79"/>
    </w:p>
    <w:p w14:paraId="756A9DDD" w14:textId="77777777" w:rsidR="00BF14D7" w:rsidRPr="00BB3634" w:rsidRDefault="00BF14D7" w:rsidP="000B18E5">
      <w:pPr>
        <w:pStyle w:val="NoSpacing"/>
      </w:pPr>
      <w:r w:rsidRPr="00BB3634">
        <w:t>The principles governing review of production orders are applicable to the review of number production warrants: </w:t>
      </w:r>
      <w:r w:rsidRPr="00BB3634">
        <w:rPr>
          <w:i/>
        </w:rPr>
        <w:t>Nero </w:t>
      </w:r>
      <w:r w:rsidRPr="00BB3634">
        <w:t>at para 69</w:t>
      </w:r>
    </w:p>
    <w:p w14:paraId="59E4DB55" w14:textId="28C815FD" w:rsidR="00BF14D7" w:rsidRPr="00BB3634" w:rsidRDefault="00BF14D7" w:rsidP="00BB3634">
      <w:pPr>
        <w:spacing w:line="276" w:lineRule="auto"/>
        <w:jc w:val="both"/>
        <w:textAlignment w:val="baseline"/>
        <w:rPr>
          <w:rFonts w:ascii="Arial" w:hAnsi="Arial" w:cs="Arial"/>
        </w:rPr>
      </w:pPr>
      <w:r w:rsidRPr="00BB3634">
        <w:rPr>
          <w:rFonts w:ascii="Arial" w:hAnsi="Arial" w:cs="Arial"/>
        </w:rPr>
        <w:t> </w:t>
      </w:r>
    </w:p>
    <w:p w14:paraId="3152DBC8" w14:textId="247DA7B5" w:rsidR="00BF14D7" w:rsidRPr="00BB3634" w:rsidRDefault="00BF14D7" w:rsidP="00BB3634">
      <w:pPr>
        <w:pStyle w:val="Heading2"/>
        <w:spacing w:line="276" w:lineRule="auto"/>
        <w:rPr>
          <w:rFonts w:cs="Arial"/>
        </w:rPr>
      </w:pPr>
      <w:bookmarkStart w:id="80" w:name="_Toc94360161"/>
      <w:r w:rsidRPr="00BB3634">
        <w:rPr>
          <w:rFonts w:cs="Arial"/>
        </w:rPr>
        <w:t>Interception of Private Communications: </w:t>
      </w:r>
      <w:hyperlink r:id="rId208" w:anchor="docCont" w:tgtFrame="_blank" w:history="1">
        <w:r w:rsidR="00D75E69" w:rsidRPr="00BB3634">
          <w:rPr>
            <w:rFonts w:cs="Arial"/>
          </w:rPr>
          <w:t>S.</w:t>
        </w:r>
        <w:r w:rsidRPr="00BB3634">
          <w:rPr>
            <w:rFonts w:cs="Arial"/>
          </w:rPr>
          <w:t>186(1)</w:t>
        </w:r>
        <w:bookmarkEnd w:id="80"/>
      </w:hyperlink>
    </w:p>
    <w:p w14:paraId="52C65295" w14:textId="4E783A79" w:rsidR="00BF14D7" w:rsidRPr="00BB3634" w:rsidRDefault="00BF14D7" w:rsidP="000B18E5">
      <w:pPr>
        <w:pStyle w:val="NoSpacing"/>
      </w:pPr>
      <w:r w:rsidRPr="00BB3634">
        <w:t>The acquisition of historical text messages does not constitute an intercept: </w:t>
      </w:r>
      <w:r w:rsidRPr="00BB3634">
        <w:rPr>
          <w:i/>
        </w:rPr>
        <w:t>R v Jones, </w:t>
      </w:r>
      <w:hyperlink r:id="rId209" w:tgtFrame="_blank" w:history="1">
        <w:r w:rsidRPr="00BB3634">
          <w:rPr>
            <w:u w:val="single"/>
          </w:rPr>
          <w:t>2016 ONCA 543</w:t>
        </w:r>
      </w:hyperlink>
      <w:r w:rsidR="00D75E69" w:rsidRPr="00BB3634">
        <w:rPr>
          <w:u w:val="single"/>
        </w:rPr>
        <w:t xml:space="preserve"> </w:t>
      </w:r>
      <w:r w:rsidRPr="00BB3634">
        <w:t>at paras 20-36</w:t>
      </w:r>
    </w:p>
    <w:p w14:paraId="49968C59" w14:textId="04A59033" w:rsidR="00BF14D7" w:rsidRPr="00BB3634" w:rsidRDefault="00BF14D7" w:rsidP="00BB3634">
      <w:pPr>
        <w:spacing w:line="276" w:lineRule="auto"/>
        <w:textAlignment w:val="baseline"/>
        <w:rPr>
          <w:rFonts w:ascii="Arial" w:hAnsi="Arial" w:cs="Arial"/>
        </w:rPr>
      </w:pPr>
      <w:r w:rsidRPr="00BB3634">
        <w:rPr>
          <w:rFonts w:ascii="Arial" w:hAnsi="Arial" w:cs="Arial"/>
          <w:bdr w:val="none" w:sz="0" w:space="0" w:color="auto" w:frame="1"/>
        </w:rPr>
        <w:t>​</w:t>
      </w:r>
    </w:p>
    <w:p w14:paraId="35DC95F4" w14:textId="15F76206" w:rsidR="00BF14D7" w:rsidRPr="00BB3634" w:rsidRDefault="00BF14D7" w:rsidP="007A6720">
      <w:pPr>
        <w:pStyle w:val="Heading3"/>
        <w:numPr>
          <w:ilvl w:val="0"/>
          <w:numId w:val="45"/>
        </w:numPr>
      </w:pPr>
      <w:bookmarkStart w:id="81" w:name="_Toc94360162"/>
      <w:r w:rsidRPr="00BB3634">
        <w:t>The Test</w:t>
      </w:r>
      <w:bookmarkEnd w:id="81"/>
    </w:p>
    <w:p w14:paraId="6A717932" w14:textId="7E214D2B" w:rsidR="00BF14D7" w:rsidRPr="00BB3634" w:rsidRDefault="00BF14D7" w:rsidP="000B18E5">
      <w:pPr>
        <w:pStyle w:val="NoSpacing"/>
      </w:pPr>
      <w:r w:rsidRPr="00BB3634">
        <w:t>There are two conditions precedent required to grant an authorization to intercept private communications: 1)</w:t>
      </w:r>
      <w:r w:rsidR="00D75E69" w:rsidRPr="00BB3634">
        <w:t xml:space="preserve"> </w:t>
      </w:r>
      <w:r w:rsidRPr="00BB3634">
        <w:t>that it would be in the best interests of the administration of justice to do so ("probable cause"); and 2)</w:t>
      </w:r>
      <w:r w:rsidR="00D75E69" w:rsidRPr="00BB3634">
        <w:t xml:space="preserve"> </w:t>
      </w:r>
      <w:r w:rsidRPr="00BB3634">
        <w:t>that other investigative procedures have been tried and have failed, other investigative procedures are unlikely to succeed or the urgency of the matter is such that it would be impractical to carry out the investigation of the offence using only other investigative procedures ("investigative necessity"): </w:t>
      </w:r>
      <w:r w:rsidRPr="00BB3634">
        <w:rPr>
          <w:i/>
        </w:rPr>
        <w:t>R v Nero, </w:t>
      </w:r>
      <w:hyperlink r:id="rId210" w:tgtFrame="_blank" w:history="1">
        <w:r w:rsidRPr="00BB3634">
          <w:rPr>
            <w:u w:val="single"/>
          </w:rPr>
          <w:t>2016 ONCA 160 </w:t>
        </w:r>
      </w:hyperlink>
      <w:r w:rsidRPr="00BB3634">
        <w:t>at para 114</w:t>
      </w:r>
    </w:p>
    <w:p w14:paraId="199CF221" w14:textId="5E99B497" w:rsidR="00BF14D7" w:rsidRPr="00BB3634" w:rsidRDefault="00BF14D7" w:rsidP="00BB3634">
      <w:pPr>
        <w:spacing w:line="276" w:lineRule="auto"/>
        <w:jc w:val="both"/>
        <w:textAlignment w:val="baseline"/>
        <w:rPr>
          <w:rFonts w:ascii="Arial" w:hAnsi="Arial" w:cs="Arial"/>
        </w:rPr>
      </w:pPr>
      <w:r w:rsidRPr="00BB3634">
        <w:rPr>
          <w:rFonts w:ascii="Arial" w:hAnsi="Arial" w:cs="Arial"/>
        </w:rPr>
        <w:t>  </w:t>
      </w:r>
    </w:p>
    <w:p w14:paraId="19B86515" w14:textId="4C529A0F" w:rsidR="00BF14D7" w:rsidRPr="00BB3634" w:rsidRDefault="00BF14D7" w:rsidP="007A6720">
      <w:pPr>
        <w:pStyle w:val="Heading3"/>
        <w:numPr>
          <w:ilvl w:val="0"/>
          <w:numId w:val="45"/>
        </w:numPr>
      </w:pPr>
      <w:bookmarkStart w:id="82" w:name="_Toc94360163"/>
      <w:r w:rsidRPr="00BB3634">
        <w:t>The Probable Cause Requirement</w:t>
      </w:r>
      <w:bookmarkEnd w:id="82"/>
    </w:p>
    <w:p w14:paraId="66934FC9" w14:textId="77777777" w:rsidR="005956AC" w:rsidRPr="00BB3634" w:rsidRDefault="005956AC" w:rsidP="000B18E5">
      <w:pPr>
        <w:pStyle w:val="NoSpacing"/>
      </w:pPr>
    </w:p>
    <w:p w14:paraId="520AA4B4" w14:textId="3337EF8D" w:rsidR="00BF14D7" w:rsidRDefault="00BF14D7" w:rsidP="000B18E5">
      <w:pPr>
        <w:pStyle w:val="NoSpacing"/>
      </w:pPr>
      <w:r w:rsidRPr="00BB3634">
        <w:t>The probable cause requirement demands reasonable and probable grounds to believe that: 1)</w:t>
      </w:r>
      <w:r w:rsidR="00106CFF">
        <w:t xml:space="preserve"> </w:t>
      </w:r>
      <w:r w:rsidRPr="00BB3634">
        <w:t>a specified crime, and “offence” as defined in </w:t>
      </w:r>
      <w:hyperlink r:id="rId211" w:anchor="docCont" w:tgtFrame="_blank" w:history="1">
        <w:r w:rsidRPr="00BB3634">
          <w:rPr>
            <w:u w:val="single"/>
          </w:rPr>
          <w:t>s. 183(1)</w:t>
        </w:r>
      </w:hyperlink>
      <w:r w:rsidRPr="00BB3634">
        <w:t> of the Criminal Code, has been or is being committed; and 2)</w:t>
      </w:r>
      <w:r w:rsidR="00106CFF">
        <w:t xml:space="preserve"> </w:t>
      </w:r>
      <w:r w:rsidRPr="00BB3634">
        <w:t>the interception of the private communication sought will afford evidence of the, or an, offence for which authorization is sought. The analysis must involve a common sense approach that takes into account that the subject matter of the investigation is future communications, not yet in existence: </w:t>
      </w:r>
      <w:r w:rsidRPr="00BB3634">
        <w:rPr>
          <w:i/>
        </w:rPr>
        <w:t>Nero </w:t>
      </w:r>
      <w:r w:rsidRPr="00BB3634">
        <w:t>at paras 115-116</w:t>
      </w:r>
    </w:p>
    <w:p w14:paraId="03EDD542" w14:textId="561B0111" w:rsidR="008C3FE6" w:rsidRDefault="008C3FE6" w:rsidP="000B18E5">
      <w:pPr>
        <w:pStyle w:val="NoSpacing"/>
      </w:pPr>
    </w:p>
    <w:p w14:paraId="25E15221" w14:textId="77777777" w:rsidR="008C3FE6" w:rsidRDefault="008C3FE6" w:rsidP="008C3FE6">
      <w:pPr>
        <w:pStyle w:val="NoSpacing"/>
      </w:pPr>
      <w:r w:rsidRPr="008C3FE6">
        <w:t>The reasonable and probable grounds standard, also referred to as the probable cause requirement, requires more than suspicion, but less than proof on the balance of probabilities: </w:t>
      </w:r>
      <w:r w:rsidRPr="008C3FE6">
        <w:rPr>
          <w:i/>
        </w:rPr>
        <w:t>Beauchamp</w:t>
      </w:r>
      <w:r w:rsidRPr="008C3FE6">
        <w:t xml:space="preserve">, at paras. 90-92. There must be a “credibly-based probability” the interceptions will afford evidence of the named offences. The affidavit must be read as a whole and an issuing judge may draw common </w:t>
      </w:r>
      <w:r w:rsidRPr="008C3FE6">
        <w:lastRenderedPageBreak/>
        <w:t>sense inferences from the information provided. The review of the validity of the authorization begins from the premise that the order was properly granted</w:t>
      </w:r>
      <w:r>
        <w:t>.</w:t>
      </w:r>
    </w:p>
    <w:p w14:paraId="34B22021" w14:textId="6C842DE3" w:rsidR="008C3FE6" w:rsidRPr="008C3FE6" w:rsidRDefault="008C3FE6" w:rsidP="008C3FE6">
      <w:pPr>
        <w:pStyle w:val="NoSpacing"/>
      </w:pPr>
      <w:r w:rsidRPr="008C3FE6">
        <w:t> </w:t>
      </w:r>
    </w:p>
    <w:p w14:paraId="30875FFD" w14:textId="0B97BE19" w:rsidR="008C3FE6" w:rsidRPr="008C3FE6" w:rsidRDefault="008C3FE6" w:rsidP="008C3FE6">
      <w:pPr>
        <w:pStyle w:val="NoSpacing"/>
      </w:pPr>
      <w:r w:rsidRPr="008C3FE6">
        <w:t xml:space="preserve">An interception “will afford evidence” if the communications to be intercepted shed light on the circumstances relating to the alleged offence, or the involvement of the named targets in the offence. The interceptions need not provide evidence that would be admissible at a trial: </w:t>
      </w:r>
      <w:r>
        <w:rPr>
          <w:i/>
          <w:iCs w:val="0"/>
        </w:rPr>
        <w:t xml:space="preserve">R v Muddei, </w:t>
      </w:r>
      <w:hyperlink r:id="rId212" w:history="1">
        <w:r w:rsidRPr="008C3FE6">
          <w:rPr>
            <w:rStyle w:val="Hyperlink"/>
          </w:rPr>
          <w:t>2021 ONCA 200</w:t>
        </w:r>
      </w:hyperlink>
      <w:r>
        <w:t>, at paras 37-38</w:t>
      </w:r>
    </w:p>
    <w:p w14:paraId="6504DCF0" w14:textId="77777777" w:rsidR="008C3FE6" w:rsidRPr="00BB3634" w:rsidRDefault="008C3FE6" w:rsidP="000B18E5">
      <w:pPr>
        <w:pStyle w:val="NoSpacing"/>
      </w:pPr>
    </w:p>
    <w:p w14:paraId="04DAC243" w14:textId="4976B04A" w:rsidR="00BF14D7" w:rsidRPr="00BB3634" w:rsidRDefault="00BF14D7" w:rsidP="00BB3634">
      <w:pPr>
        <w:spacing w:line="276" w:lineRule="auto"/>
        <w:jc w:val="both"/>
        <w:textAlignment w:val="baseline"/>
        <w:rPr>
          <w:rFonts w:ascii="Arial" w:hAnsi="Arial" w:cs="Arial"/>
        </w:rPr>
      </w:pPr>
      <w:r w:rsidRPr="00BB3634">
        <w:rPr>
          <w:rFonts w:ascii="Arial" w:hAnsi="Arial" w:cs="Arial"/>
        </w:rPr>
        <w:t> </w:t>
      </w:r>
    </w:p>
    <w:p w14:paraId="626A93BC" w14:textId="10CCAFA1" w:rsidR="00BF14D7" w:rsidRPr="00BB3634" w:rsidRDefault="00BF14D7" w:rsidP="007A6720">
      <w:pPr>
        <w:pStyle w:val="Heading3"/>
        <w:numPr>
          <w:ilvl w:val="0"/>
          <w:numId w:val="45"/>
        </w:numPr>
      </w:pPr>
      <w:bookmarkStart w:id="83" w:name="_Toc94360164"/>
      <w:r w:rsidRPr="00BB3634">
        <w:t>The Investigative Necessity Requirement</w:t>
      </w:r>
      <w:bookmarkEnd w:id="83"/>
    </w:p>
    <w:p w14:paraId="1734187D" w14:textId="77777777" w:rsidR="005956AC" w:rsidRPr="00BB3634" w:rsidRDefault="005956AC" w:rsidP="000B18E5">
      <w:pPr>
        <w:pStyle w:val="NoSpacing"/>
      </w:pPr>
    </w:p>
    <w:p w14:paraId="30DDEBB7" w14:textId="3C68AFFC" w:rsidR="00BF14D7" w:rsidRPr="00BB3634" w:rsidRDefault="00BF14D7" w:rsidP="000B18E5">
      <w:pPr>
        <w:pStyle w:val="NoSpacing"/>
      </w:pPr>
      <w:r w:rsidRPr="00BB3634">
        <w:t>The investigative necessity requirement does not dictate that interception of private communications is an investigative tool of last resort. This factor is met where, practically speaking, there is no other reasonable alternative method of investigation, in the circumstances of the particular criminal inquiry: </w:t>
      </w:r>
      <w:r w:rsidRPr="00BB3634">
        <w:rPr>
          <w:i/>
        </w:rPr>
        <w:t>Nero </w:t>
      </w:r>
      <w:r w:rsidRPr="00BB3634">
        <w:t>at paras 118-122</w:t>
      </w:r>
    </w:p>
    <w:p w14:paraId="2F598BD4" w14:textId="77777777" w:rsidR="002D6DD7" w:rsidRPr="00BB3634" w:rsidRDefault="002D6DD7" w:rsidP="000B18E5">
      <w:pPr>
        <w:pStyle w:val="NoSpacing"/>
      </w:pPr>
    </w:p>
    <w:p w14:paraId="4CA8A252" w14:textId="5EF602CF" w:rsidR="00BF14D7" w:rsidRPr="00BB3634" w:rsidRDefault="00BF14D7" w:rsidP="000B18E5">
      <w:pPr>
        <w:pStyle w:val="NoSpacing"/>
      </w:pPr>
      <w:r w:rsidRPr="00BB3634">
        <w:t>Whether investigative necessity is established is informed by the investigative objectives pursued by the police. The requirement may be met where an investigative objective is to obtain evidence confirmatory of information provided by a source whose testimony is not available through no fault of</w:t>
      </w:r>
      <w:r w:rsidR="00075951" w:rsidRPr="00BB3634">
        <w:t>,</w:t>
      </w:r>
      <w:r w:rsidRPr="00BB3634">
        <w:t xml:space="preserve"> or connivance by</w:t>
      </w:r>
      <w:r w:rsidR="00075951" w:rsidRPr="00BB3634">
        <w:t>,</w:t>
      </w:r>
      <w:r w:rsidRPr="00BB3634">
        <w:t xml:space="preserve"> the authorities, or is subject to special scrutiny. The requirement applies to the investigation as a whole, not to each individual target. The supportive affidavit need not demonstrate investigative necessity on an individual target basis</w:t>
      </w:r>
    </w:p>
    <w:p w14:paraId="7C6811A1" w14:textId="77777777" w:rsidR="00BF14D7" w:rsidRPr="00BB3634" w:rsidRDefault="00BF14D7" w:rsidP="000B18E5">
      <w:pPr>
        <w:pStyle w:val="NoSpacing"/>
      </w:pPr>
      <w:r w:rsidRPr="00BB3634">
        <w:t>​</w:t>
      </w:r>
    </w:p>
    <w:p w14:paraId="3F7958A1" w14:textId="6175D13C" w:rsidR="00BF14D7" w:rsidRPr="00BB3634" w:rsidRDefault="00BF14D7" w:rsidP="000B18E5">
      <w:pPr>
        <w:pStyle w:val="NoSpacing"/>
      </w:pPr>
      <w:r w:rsidRPr="00BB3634">
        <w:t>The police have more need for wiretapping where they are trying to move up the chain and catch the higher-ups in the operation. However, the fact that wiretap authorization might inevitably be required because of the nature of the activity being investigated does not excuse the police from the obligation to establish a firm evidentiary foundation for the authorization through the use of less intrusive methods of investigation: </w:t>
      </w:r>
      <w:r w:rsidRPr="00BB3634">
        <w:rPr>
          <w:i/>
        </w:rPr>
        <w:t>R v Mac, </w:t>
      </w:r>
      <w:hyperlink r:id="rId213" w:tgtFrame="_blank" w:history="1">
        <w:r w:rsidRPr="00BB3634">
          <w:rPr>
            <w:u w:val="single"/>
          </w:rPr>
          <w:t>2016 ONCA 379</w:t>
        </w:r>
      </w:hyperlink>
      <w:r w:rsidRPr="00BB3634">
        <w:t> at paras 39-40</w:t>
      </w:r>
    </w:p>
    <w:p w14:paraId="2D49FE2B" w14:textId="3F83A130" w:rsidR="00BF14D7" w:rsidRDefault="00BF14D7" w:rsidP="000B18E5">
      <w:pPr>
        <w:pStyle w:val="NoSpacing"/>
      </w:pPr>
      <w:r w:rsidRPr="00BB3634">
        <w:t>​</w:t>
      </w:r>
    </w:p>
    <w:p w14:paraId="71C6024A" w14:textId="6267F20D" w:rsidR="008C3FE6" w:rsidRPr="008C3FE6" w:rsidRDefault="008C3FE6" w:rsidP="008C3FE6">
      <w:pPr>
        <w:pStyle w:val="NoSpacing"/>
      </w:pPr>
      <w:r>
        <w:t xml:space="preserve">The ITO must set out the basis for why investigative necessity is made out. The affiant’s conclusion, without more, is insufficient.  </w:t>
      </w:r>
    </w:p>
    <w:p w14:paraId="5452B9DB" w14:textId="4AB601C4" w:rsidR="008C3FE6" w:rsidRPr="008C3FE6" w:rsidRDefault="008C3FE6" w:rsidP="008C3FE6">
      <w:pPr>
        <w:spacing w:before="100" w:beforeAutospacing="1" w:after="100" w:afterAutospacing="1"/>
        <w:jc w:val="both"/>
        <w:rPr>
          <w:rFonts w:ascii="Arial" w:hAnsi="Arial" w:cs="Arial"/>
          <w:color w:val="000000"/>
          <w:sz w:val="26"/>
          <w:szCs w:val="26"/>
        </w:rPr>
      </w:pPr>
      <w:r w:rsidRPr="008C3FE6">
        <w:rPr>
          <w:rFonts w:ascii="Arial" w:hAnsi="Arial" w:cs="Arial"/>
          <w:color w:val="000000"/>
          <w:sz w:val="26"/>
          <w:szCs w:val="26"/>
        </w:rPr>
        <w:t xml:space="preserve">Absent any attempts to bring </w:t>
      </w:r>
      <w:r>
        <w:rPr>
          <w:rFonts w:ascii="Arial" w:hAnsi="Arial" w:cs="Arial"/>
          <w:color w:val="000000"/>
          <w:sz w:val="26"/>
          <w:szCs w:val="26"/>
        </w:rPr>
        <w:t>an</w:t>
      </w:r>
      <w:r w:rsidRPr="008C3FE6">
        <w:rPr>
          <w:rFonts w:ascii="Arial" w:hAnsi="Arial" w:cs="Arial"/>
          <w:color w:val="000000"/>
          <w:sz w:val="26"/>
          <w:szCs w:val="26"/>
        </w:rPr>
        <w:t xml:space="preserve"> investigation</w:t>
      </w:r>
      <w:r>
        <w:rPr>
          <w:rFonts w:ascii="Arial" w:hAnsi="Arial" w:cs="Arial"/>
          <w:color w:val="000000"/>
          <w:sz w:val="26"/>
          <w:szCs w:val="26"/>
        </w:rPr>
        <w:t xml:space="preserve"> in respect of a dated crime</w:t>
      </w:r>
      <w:r w:rsidRPr="008C3FE6">
        <w:rPr>
          <w:rFonts w:ascii="Arial" w:hAnsi="Arial" w:cs="Arial"/>
          <w:color w:val="000000"/>
          <w:sz w:val="26"/>
          <w:szCs w:val="26"/>
        </w:rPr>
        <w:t xml:space="preserve"> up-to-date before applying for </w:t>
      </w:r>
      <w:r>
        <w:rPr>
          <w:rFonts w:ascii="Arial" w:hAnsi="Arial" w:cs="Arial"/>
          <w:color w:val="000000"/>
          <w:sz w:val="26"/>
          <w:szCs w:val="26"/>
        </w:rPr>
        <w:t>an</w:t>
      </w:r>
      <w:r w:rsidRPr="008C3FE6">
        <w:rPr>
          <w:rFonts w:ascii="Arial" w:hAnsi="Arial" w:cs="Arial"/>
          <w:color w:val="000000"/>
          <w:sz w:val="26"/>
          <w:szCs w:val="26"/>
        </w:rPr>
        <w:t xml:space="preserve"> authorization, </w:t>
      </w:r>
      <w:r>
        <w:rPr>
          <w:rFonts w:ascii="Arial" w:hAnsi="Arial" w:cs="Arial"/>
          <w:color w:val="000000"/>
          <w:sz w:val="26"/>
          <w:szCs w:val="26"/>
        </w:rPr>
        <w:t xml:space="preserve">and absent urgency, investigative necessity will not be made out. </w:t>
      </w:r>
    </w:p>
    <w:p w14:paraId="04B0F2D5" w14:textId="2F5B44B9" w:rsidR="008C3FE6" w:rsidRPr="008C3FE6" w:rsidRDefault="008C3FE6" w:rsidP="008C3FE6">
      <w:pPr>
        <w:spacing w:before="100" w:beforeAutospacing="1" w:after="100" w:afterAutospacing="1"/>
        <w:jc w:val="both"/>
        <w:rPr>
          <w:rFonts w:ascii="Arial" w:hAnsi="Arial" w:cs="Arial"/>
          <w:color w:val="000000"/>
          <w:sz w:val="26"/>
          <w:szCs w:val="26"/>
        </w:rPr>
      </w:pPr>
      <w:r w:rsidRPr="008C3FE6">
        <w:rPr>
          <w:rFonts w:ascii="Arial" w:hAnsi="Arial" w:cs="Arial"/>
          <w:color w:val="000000"/>
          <w:sz w:val="26"/>
          <w:szCs w:val="26"/>
        </w:rPr>
        <w:lastRenderedPageBreak/>
        <w:t>The investigative necessity requirement must speak to the status of the investigation at the time the application is made, not years earlier</w:t>
      </w:r>
      <w:r>
        <w:rPr>
          <w:rFonts w:ascii="Arial" w:hAnsi="Arial" w:cs="Arial"/>
          <w:color w:val="000000"/>
          <w:sz w:val="26"/>
          <w:szCs w:val="26"/>
        </w:rPr>
        <w:t xml:space="preserve">: </w:t>
      </w:r>
      <w:r>
        <w:rPr>
          <w:rFonts w:ascii="Arial" w:hAnsi="Arial" w:cs="Arial"/>
          <w:i/>
          <w:iCs/>
          <w:color w:val="000000"/>
          <w:sz w:val="26"/>
          <w:szCs w:val="26"/>
        </w:rPr>
        <w:t xml:space="preserve">R v Muddei, </w:t>
      </w:r>
      <w:hyperlink r:id="rId214" w:history="1">
        <w:r w:rsidRPr="008C3FE6">
          <w:rPr>
            <w:rStyle w:val="Hyperlink"/>
            <w:rFonts w:ascii="Arial" w:hAnsi="Arial" w:cs="Arial"/>
            <w:sz w:val="26"/>
            <w:szCs w:val="26"/>
          </w:rPr>
          <w:t>2021 ONCA 200</w:t>
        </w:r>
      </w:hyperlink>
      <w:r>
        <w:rPr>
          <w:rFonts w:ascii="Arial" w:hAnsi="Arial" w:cs="Arial"/>
          <w:color w:val="000000"/>
          <w:sz w:val="26"/>
          <w:szCs w:val="26"/>
        </w:rPr>
        <w:t>, at paras 68-70</w:t>
      </w:r>
    </w:p>
    <w:p w14:paraId="37CB8355" w14:textId="77777777" w:rsidR="008C3FE6" w:rsidRPr="00BB3634" w:rsidRDefault="008C3FE6" w:rsidP="000B18E5">
      <w:pPr>
        <w:pStyle w:val="NoSpacing"/>
      </w:pPr>
    </w:p>
    <w:p w14:paraId="0AA87DC2" w14:textId="77777777" w:rsidR="00BF14D7" w:rsidRPr="00BB3634" w:rsidRDefault="00BF14D7" w:rsidP="000B18E5">
      <w:pPr>
        <w:pStyle w:val="NoSpacing"/>
      </w:pPr>
      <w:r w:rsidRPr="00BB3634">
        <w:t>See also </w:t>
      </w:r>
      <w:r w:rsidRPr="00BB3634">
        <w:rPr>
          <w:i/>
        </w:rPr>
        <w:t>R v Beauchamp</w:t>
      </w:r>
      <w:r w:rsidRPr="00BB3634">
        <w:t>, </w:t>
      </w:r>
      <w:hyperlink r:id="rId215" w:tgtFrame="_blank" w:history="1">
        <w:r w:rsidRPr="00BB3634">
          <w:t>2015 ONCA 260</w:t>
        </w:r>
      </w:hyperlink>
      <w:r w:rsidRPr="00BB3634">
        <w:t>, at paras 115-129; </w:t>
      </w:r>
      <w:r w:rsidRPr="00BB3634">
        <w:rPr>
          <w:i/>
        </w:rPr>
        <w:t>R v Telus, </w:t>
      </w:r>
      <w:hyperlink r:id="rId216" w:tgtFrame="_blank" w:history="1">
        <w:r w:rsidRPr="00BB3634">
          <w:t>2013 SCC 15</w:t>
        </w:r>
      </w:hyperlink>
    </w:p>
    <w:p w14:paraId="7CED2F8C" w14:textId="77777777" w:rsidR="00BF14D7" w:rsidRPr="00BB3634" w:rsidRDefault="00BF14D7" w:rsidP="000B18E5">
      <w:pPr>
        <w:pStyle w:val="NoSpacing"/>
      </w:pPr>
      <w:r w:rsidRPr="00BB3634">
        <w:t> </w:t>
      </w:r>
    </w:p>
    <w:p w14:paraId="153687EC" w14:textId="68091551" w:rsidR="008C3FE6" w:rsidRPr="00BB3634" w:rsidRDefault="00BF14D7" w:rsidP="000B18E5">
      <w:pPr>
        <w:pStyle w:val="NoSpacing"/>
      </w:pPr>
      <w:r w:rsidRPr="00BB3634">
        <w:t>See generally </w:t>
      </w:r>
      <w:r w:rsidRPr="00BB3634">
        <w:rPr>
          <w:i/>
        </w:rPr>
        <w:t>R v Duarte</w:t>
      </w:r>
      <w:r w:rsidRPr="00BB3634">
        <w:t>, </w:t>
      </w:r>
      <w:hyperlink r:id="rId217" w:tgtFrame="_blank" w:history="1">
        <w:r w:rsidRPr="00BB3634">
          <w:rPr>
            <w:u w:val="single"/>
          </w:rPr>
          <w:t>[1990] 1 SCR 30</w:t>
        </w:r>
      </w:hyperlink>
      <w:r w:rsidRPr="00BB3634">
        <w:t>, which deals with the simultaneous interception of voice communication by the state.</w:t>
      </w:r>
    </w:p>
    <w:p w14:paraId="510207BB" w14:textId="75226716" w:rsidR="00BF14D7" w:rsidRPr="00BB3634" w:rsidRDefault="00BF14D7" w:rsidP="000B18E5">
      <w:pPr>
        <w:pStyle w:val="NoSpacing"/>
      </w:pPr>
      <w:r w:rsidRPr="00BB3634">
        <w:t>​</w:t>
      </w:r>
    </w:p>
    <w:p w14:paraId="5B0E548D" w14:textId="3CC91C1A" w:rsidR="00BF14D7" w:rsidRPr="007A6720" w:rsidRDefault="00BF14D7" w:rsidP="007A6720">
      <w:pPr>
        <w:pStyle w:val="Heading3"/>
        <w:numPr>
          <w:ilvl w:val="0"/>
          <w:numId w:val="45"/>
        </w:numPr>
        <w:rPr>
          <w:sz w:val="24"/>
          <w:szCs w:val="24"/>
        </w:rPr>
      </w:pPr>
      <w:bookmarkStart w:id="84" w:name="_Toc94360165"/>
      <w:r w:rsidRPr="007A6720">
        <w:rPr>
          <w:sz w:val="24"/>
          <w:szCs w:val="24"/>
        </w:rPr>
        <w:t xml:space="preserve">"Known" </w:t>
      </w:r>
      <w:r w:rsidR="00D23AF9" w:rsidRPr="007A6720">
        <w:rPr>
          <w:sz w:val="24"/>
          <w:szCs w:val="24"/>
        </w:rPr>
        <w:t>P</w:t>
      </w:r>
      <w:r w:rsidRPr="007A6720">
        <w:rPr>
          <w:sz w:val="24"/>
          <w:szCs w:val="24"/>
        </w:rPr>
        <w:t>ersons under</w:t>
      </w:r>
      <w:hyperlink r:id="rId218" w:anchor="docCont" w:tgtFrame="_blank" w:history="1">
        <w:r w:rsidRPr="007A6720">
          <w:rPr>
            <w:sz w:val="24"/>
            <w:szCs w:val="24"/>
          </w:rPr>
          <w:t> s. 185(1)(e)</w:t>
        </w:r>
        <w:bookmarkEnd w:id="84"/>
      </w:hyperlink>
    </w:p>
    <w:p w14:paraId="4FCE8E0C" w14:textId="77777777" w:rsidR="00BF14D7" w:rsidRPr="00BB3634" w:rsidRDefault="00BF14D7" w:rsidP="000B18E5">
      <w:pPr>
        <w:pStyle w:val="NoSpacing"/>
      </w:pPr>
      <w:r w:rsidRPr="00BB3634">
        <w:t>Section 185(1)(e) of the Criminal Code enacts the standard for including persons as “known” in the supportive affidavit. The standard is a modest one:</w:t>
      </w:r>
    </w:p>
    <w:p w14:paraId="422C409F" w14:textId="77777777" w:rsidR="00BF14D7" w:rsidRPr="00BB3634" w:rsidRDefault="00BF14D7" w:rsidP="000B18E5">
      <w:pPr>
        <w:pStyle w:val="NoSpacing"/>
      </w:pPr>
      <w:r w:rsidRPr="00BB3634">
        <w:t>​</w:t>
      </w:r>
    </w:p>
    <w:p w14:paraId="36B7DA92" w14:textId="77777777" w:rsidR="00BF14D7" w:rsidRPr="00BB3634" w:rsidRDefault="00BF14D7" w:rsidP="000B18E5">
      <w:pPr>
        <w:pStyle w:val="NoSpacing"/>
      </w:pPr>
      <w:r w:rsidRPr="00BB3634">
        <w:t>The threshold for describing a person as a “known” in the supportive affidavit is a modest one.  Investigators need not have reasonable and probable grounds to believe that the person was involved in the commission of an offence being investigated.  Provided investigators know the identity of the person and have reasonable and probable grounds to believe that the interception of that person’s private communications may assist the investigation of an offence, that person is a “known” for the purposes of s. 185(1)(e). </w:t>
      </w:r>
    </w:p>
    <w:p w14:paraId="74B1BC8E" w14:textId="6BF3B909" w:rsidR="00BF14D7" w:rsidRPr="00BB3634" w:rsidRDefault="00BF14D7" w:rsidP="000B18E5">
      <w:pPr>
        <w:pStyle w:val="NoSpacing"/>
      </w:pPr>
      <w:r w:rsidRPr="00BB3634">
        <w:t>​</w:t>
      </w:r>
    </w:p>
    <w:p w14:paraId="29C08FDA" w14:textId="11D1A375" w:rsidR="00BF14D7" w:rsidRPr="00BB3634" w:rsidRDefault="00BF14D7" w:rsidP="007A6720">
      <w:pPr>
        <w:pStyle w:val="Heading3"/>
        <w:numPr>
          <w:ilvl w:val="0"/>
          <w:numId w:val="45"/>
        </w:numPr>
      </w:pPr>
      <w:bookmarkStart w:id="85" w:name="_Toc94360166"/>
      <w:r w:rsidRPr="00BB3634">
        <w:t xml:space="preserve">The </w:t>
      </w:r>
      <w:r w:rsidRPr="007A6720">
        <w:rPr>
          <w:sz w:val="24"/>
          <w:szCs w:val="24"/>
        </w:rPr>
        <w:t>Standard</w:t>
      </w:r>
      <w:r w:rsidRPr="00BB3634">
        <w:t xml:space="preserve"> of Review</w:t>
      </w:r>
      <w:bookmarkEnd w:id="85"/>
    </w:p>
    <w:p w14:paraId="5BCE88D5" w14:textId="27263EB9" w:rsidR="00BF14D7" w:rsidRPr="00BB3634" w:rsidRDefault="00BF14D7" w:rsidP="000B18E5">
      <w:pPr>
        <w:pStyle w:val="NoSpacing"/>
      </w:pPr>
      <w:r w:rsidRPr="00BB3634">
        <w:t>The standard of review on appeal is one of deference to findings of fact made by the motions judge. Absent a demonstrated misapprehension of the evidence, a failure to consider relevant evidence, a consideration of irrelevant evidence, an unreasonable finding or an error of law in the application of the governing principles, the appellate court will not interfere with the decision of the motions judge: </w:t>
      </w:r>
      <w:r w:rsidR="00FF734E" w:rsidRPr="00BB3634">
        <w:rPr>
          <w:i/>
        </w:rPr>
        <w:t xml:space="preserve">R v </w:t>
      </w:r>
      <w:r w:rsidRPr="00BB3634">
        <w:rPr>
          <w:i/>
        </w:rPr>
        <w:t>Nero</w:t>
      </w:r>
      <w:r w:rsidR="00FF734E" w:rsidRPr="00BB3634">
        <w:rPr>
          <w:i/>
        </w:rPr>
        <w:t>, , </w:t>
      </w:r>
      <w:hyperlink r:id="rId219" w:tgtFrame="_blank" w:history="1">
        <w:r w:rsidR="00FF734E" w:rsidRPr="00BB3634">
          <w:rPr>
            <w:u w:val="single"/>
          </w:rPr>
          <w:t>2016 ONCA 160 </w:t>
        </w:r>
      </w:hyperlink>
      <w:r w:rsidRPr="00BB3634">
        <w:rPr>
          <w:i/>
        </w:rPr>
        <w:t> </w:t>
      </w:r>
      <w:r w:rsidRPr="00BB3634">
        <w:t>at para 124</w:t>
      </w:r>
    </w:p>
    <w:p w14:paraId="168BFFE5" w14:textId="13E4AE90" w:rsidR="00FF734E" w:rsidRPr="00BB3634" w:rsidRDefault="00FF734E" w:rsidP="000B18E5">
      <w:pPr>
        <w:pStyle w:val="NoSpacing"/>
      </w:pPr>
    </w:p>
    <w:p w14:paraId="1F26145F" w14:textId="6B79EFDF" w:rsidR="00FF734E" w:rsidRPr="00BB3634" w:rsidRDefault="00FF734E" w:rsidP="000B18E5">
      <w:pPr>
        <w:pStyle w:val="NoSpacing"/>
      </w:pPr>
      <w:r w:rsidRPr="00BB3634">
        <w:t>While deference is owed to the trial judge’s factual findings, her legal conclusions are reviewable on the correctness standard: </w:t>
      </w:r>
      <w:r w:rsidRPr="00BB3634">
        <w:rPr>
          <w:i/>
        </w:rPr>
        <w:t xml:space="preserve">R v Balendra, </w:t>
      </w:r>
      <w:hyperlink r:id="rId220" w:history="1">
        <w:r w:rsidRPr="00BB3634">
          <w:rPr>
            <w:rStyle w:val="Hyperlink"/>
          </w:rPr>
          <w:t>2019 ONCA 68</w:t>
        </w:r>
      </w:hyperlink>
      <w:r w:rsidRPr="00BB3634">
        <w:t>, at para 30</w:t>
      </w:r>
    </w:p>
    <w:p w14:paraId="470990E5" w14:textId="0BD929A4" w:rsidR="00FF734E" w:rsidRDefault="00FF734E" w:rsidP="000B18E5">
      <w:pPr>
        <w:pStyle w:val="NoSpacing"/>
      </w:pPr>
    </w:p>
    <w:p w14:paraId="251F32F3" w14:textId="77777777" w:rsidR="00C57050" w:rsidRDefault="00C57050" w:rsidP="000B18E5">
      <w:pPr>
        <w:pStyle w:val="NoSpacing"/>
      </w:pPr>
    </w:p>
    <w:p w14:paraId="0177C38C" w14:textId="01110B71" w:rsidR="008C3FE6" w:rsidRDefault="008C3FE6" w:rsidP="007A6720">
      <w:pPr>
        <w:pStyle w:val="Heading3"/>
        <w:numPr>
          <w:ilvl w:val="0"/>
          <w:numId w:val="45"/>
        </w:numPr>
      </w:pPr>
      <w:bookmarkStart w:id="86" w:name="_Toc94360167"/>
      <w:r w:rsidRPr="007A6720">
        <w:rPr>
          <w:sz w:val="24"/>
          <w:szCs w:val="24"/>
        </w:rPr>
        <w:lastRenderedPageBreak/>
        <w:t>Examples</w:t>
      </w:r>
      <w:r>
        <w:t xml:space="preserve"> from the Case Law</w:t>
      </w:r>
      <w:bookmarkEnd w:id="86"/>
    </w:p>
    <w:p w14:paraId="1661C994" w14:textId="77777777" w:rsidR="008C3FE6" w:rsidRDefault="008C3FE6" w:rsidP="008C3FE6">
      <w:pPr>
        <w:pStyle w:val="aparanumbering"/>
        <w:jc w:val="both"/>
        <w:rPr>
          <w:rFonts w:ascii="Arial" w:eastAsia="Times New Roman" w:hAnsi="Arial" w:cs="Arial"/>
          <w:color w:val="000000"/>
          <w:sz w:val="26"/>
          <w:szCs w:val="26"/>
          <w:lang w:val="en-CA"/>
        </w:rPr>
      </w:pPr>
      <w:r>
        <w:rPr>
          <w:rFonts w:ascii="Arial" w:eastAsia="Times New Roman" w:hAnsi="Arial" w:cs="Arial"/>
          <w:color w:val="000000"/>
          <w:sz w:val="26"/>
          <w:szCs w:val="26"/>
          <w:lang w:val="en-CA"/>
        </w:rPr>
        <w:t xml:space="preserve">In </w:t>
      </w:r>
      <w:r>
        <w:rPr>
          <w:rFonts w:ascii="Arial" w:eastAsia="Times New Roman" w:hAnsi="Arial" w:cs="Arial"/>
          <w:i/>
          <w:iCs/>
          <w:color w:val="000000"/>
          <w:sz w:val="26"/>
          <w:szCs w:val="26"/>
          <w:lang w:val="en-CA"/>
        </w:rPr>
        <w:t xml:space="preserve">Muddei, </w:t>
      </w:r>
      <w:r>
        <w:rPr>
          <w:rFonts w:ascii="Arial" w:eastAsia="Times New Roman" w:hAnsi="Arial" w:cs="Arial"/>
          <w:color w:val="000000"/>
          <w:sz w:val="26"/>
          <w:szCs w:val="26"/>
          <w:lang w:val="en-CA"/>
        </w:rPr>
        <w:t>the Ontario Court of Appeal found that the ITO could not support the wiretap authorization in connection with a dated offence. The court reasoned:</w:t>
      </w:r>
    </w:p>
    <w:p w14:paraId="1149BA5A" w14:textId="4AF8A615" w:rsidR="008C3FE6" w:rsidRPr="00C57050" w:rsidRDefault="008C3FE6" w:rsidP="008C3FE6">
      <w:pPr>
        <w:pStyle w:val="aparanumbering"/>
        <w:ind w:left="720"/>
        <w:jc w:val="both"/>
        <w:rPr>
          <w:rFonts w:ascii="Arial" w:eastAsia="Times New Roman" w:hAnsi="Arial" w:cs="Arial"/>
          <w:color w:val="000000"/>
          <w:sz w:val="24"/>
          <w:szCs w:val="24"/>
          <w:lang w:val="en-CA"/>
        </w:rPr>
      </w:pPr>
      <w:r w:rsidRPr="00C57050">
        <w:rPr>
          <w:rFonts w:ascii="Arial" w:eastAsia="Times New Roman" w:hAnsi="Arial" w:cs="Arial"/>
          <w:color w:val="000000"/>
          <w:sz w:val="24"/>
          <w:szCs w:val="24"/>
          <w:lang w:val="en-CA"/>
        </w:rPr>
        <w:t xml:space="preserve"> It is certainly possible a person implicated in a serious crime committed years earlier may, if stimulated by police activity, communicate with others who were involved in, or had knowledge of, that crime. However, that possibility alone cannot be enough to warrant the granting of an authorization to intercept private communications. Were the possibility the police could stimulate communications about the offence enough, individuals who the police reasonably believed to have been involved in a crime years earlier, or perhaps to have been in communication with others involved in a crime, would remain subject to seriously intrusive state invasions of their privacy, as long as the investigation of the crime remained open and the police could think of something that might possibly stimulate communications relevant to the crime.</w:t>
      </w:r>
    </w:p>
    <w:p w14:paraId="0F35F5D3" w14:textId="555B9C4B" w:rsidR="008C3FE6" w:rsidRPr="008C3FE6" w:rsidRDefault="008C3FE6" w:rsidP="008C3FE6">
      <w:pPr>
        <w:pStyle w:val="NoSpacing"/>
        <w:ind w:left="720"/>
        <w:rPr>
          <w:lang w:val="en-CA"/>
        </w:rPr>
      </w:pPr>
      <w:r w:rsidRPr="008C3FE6">
        <w:t>No one would quarrel with the statement that persons suspected of offences, who are prompted by police investigative techniques, sometimes communicate with others about those offences. Prompting can induce communications with other targets, or unknown third parties. However, it cannot be inferred that, because prompting sometimes works, there is a reasonable probability it will work in any given case. The availability of that inference must depend on the circumstances. Those circumstances include the details of the prompting plan</w:t>
      </w:r>
      <w:r>
        <w:rPr>
          <w:lang w:val="en-CA"/>
        </w:rPr>
        <w:t xml:space="preserve">: </w:t>
      </w:r>
      <w:r>
        <w:rPr>
          <w:i/>
          <w:lang w:val="en-CA"/>
        </w:rPr>
        <w:t xml:space="preserve">R v Muddei, </w:t>
      </w:r>
      <w:hyperlink r:id="rId221" w:history="1">
        <w:r w:rsidRPr="008C3FE6">
          <w:rPr>
            <w:rStyle w:val="Hyperlink"/>
            <w:sz w:val="26"/>
            <w:szCs w:val="26"/>
            <w:lang w:val="en-CA"/>
          </w:rPr>
          <w:t>2021 ONCA 200</w:t>
        </w:r>
      </w:hyperlink>
      <w:r>
        <w:rPr>
          <w:lang w:val="en-CA"/>
        </w:rPr>
        <w:t>, at para</w:t>
      </w:r>
      <w:r>
        <w:t>s</w:t>
      </w:r>
      <w:r>
        <w:rPr>
          <w:lang w:val="en-CA"/>
        </w:rPr>
        <w:t xml:space="preserve"> 10</w:t>
      </w:r>
      <w:r>
        <w:t>, 60</w:t>
      </w:r>
      <w:r>
        <w:rPr>
          <w:lang w:val="en-CA"/>
        </w:rPr>
        <w:t>; see also para 53</w:t>
      </w:r>
    </w:p>
    <w:p w14:paraId="24245B86" w14:textId="77777777" w:rsidR="008C3FE6" w:rsidRPr="008C3FE6" w:rsidRDefault="008C3FE6" w:rsidP="008C3FE6"/>
    <w:p w14:paraId="1A528660" w14:textId="77777777" w:rsidR="00D75E69" w:rsidRPr="00BB3634" w:rsidRDefault="00D75E69" w:rsidP="000B18E5">
      <w:pPr>
        <w:pStyle w:val="NoSpacing"/>
      </w:pPr>
    </w:p>
    <w:p w14:paraId="29D0D05E" w14:textId="0B283278" w:rsidR="00D743FB" w:rsidRPr="00BB3634" w:rsidRDefault="009C2A75" w:rsidP="00BB3634">
      <w:pPr>
        <w:pStyle w:val="Heading1"/>
        <w:spacing w:line="276" w:lineRule="auto"/>
        <w:rPr>
          <w:sz w:val="24"/>
          <w:szCs w:val="24"/>
        </w:rPr>
      </w:pPr>
      <w:bookmarkStart w:id="87" w:name="_Toc94360168"/>
      <w:r w:rsidRPr="00BB3634">
        <w:rPr>
          <w:sz w:val="24"/>
          <w:szCs w:val="24"/>
        </w:rPr>
        <w:t>SECTION 9</w:t>
      </w:r>
      <w:bookmarkEnd w:id="87"/>
    </w:p>
    <w:p w14:paraId="05610E93" w14:textId="77777777" w:rsidR="0075676A" w:rsidRPr="00BB3634" w:rsidRDefault="0075676A" w:rsidP="00BB3634">
      <w:pPr>
        <w:spacing w:line="276" w:lineRule="auto"/>
        <w:rPr>
          <w:rFonts w:ascii="Arial" w:hAnsi="Arial" w:cs="Arial"/>
        </w:rPr>
      </w:pPr>
    </w:p>
    <w:p w14:paraId="7292E6A8" w14:textId="77777777" w:rsidR="0075676A" w:rsidRPr="00BB3634" w:rsidRDefault="0075676A" w:rsidP="000B18E5">
      <w:pPr>
        <w:pStyle w:val="NoSpacing"/>
      </w:pPr>
      <w:r w:rsidRPr="00BB3634">
        <w:t xml:space="preserve">Police duties and their authority to do things in the performance of those duties are not co-extensive. Police conduct is not rendered lawful merely because it helped the police perform their assigned duties. Where that conduct interferes with the liberty or freedom of an individual, it will be lawful only if and to the extent it is authorized by law: </w:t>
      </w:r>
      <w:r w:rsidRPr="00BB3634">
        <w:rPr>
          <w:i/>
        </w:rPr>
        <w:t xml:space="preserve">R v Gonzales, </w:t>
      </w:r>
      <w:hyperlink r:id="rId222" w:history="1">
        <w:r w:rsidRPr="00BB3634">
          <w:rPr>
            <w:rStyle w:val="Hyperlink"/>
            <w:b/>
          </w:rPr>
          <w:t>2017 ONCA 543</w:t>
        </w:r>
      </w:hyperlink>
      <w:r w:rsidRPr="00BB3634">
        <w:t xml:space="preserve"> at para 61</w:t>
      </w:r>
    </w:p>
    <w:p w14:paraId="7778DBBD" w14:textId="77777777" w:rsidR="0075676A" w:rsidRPr="00BB3634" w:rsidRDefault="0075676A" w:rsidP="00BB3634">
      <w:pPr>
        <w:spacing w:line="276" w:lineRule="auto"/>
        <w:rPr>
          <w:rFonts w:ascii="Arial" w:hAnsi="Arial" w:cs="Arial"/>
        </w:rPr>
      </w:pPr>
    </w:p>
    <w:p w14:paraId="0AB63043" w14:textId="77777777" w:rsidR="00DB08A3" w:rsidRPr="00BB3634" w:rsidRDefault="00DB08A3" w:rsidP="00FF4E15">
      <w:pPr>
        <w:pStyle w:val="Heading2"/>
        <w:numPr>
          <w:ilvl w:val="0"/>
          <w:numId w:val="42"/>
        </w:numPr>
        <w:spacing w:line="276" w:lineRule="auto"/>
        <w:rPr>
          <w:rFonts w:cs="Arial"/>
        </w:rPr>
      </w:pPr>
      <w:bookmarkStart w:id="88" w:name="_Toc94360169"/>
      <w:r w:rsidRPr="00BB3634">
        <w:rPr>
          <w:rFonts w:cs="Arial"/>
        </w:rPr>
        <w:lastRenderedPageBreak/>
        <w:t>Ancillary Powers Doctrine</w:t>
      </w:r>
      <w:bookmarkEnd w:id="88"/>
    </w:p>
    <w:p w14:paraId="2AB8C9FD" w14:textId="40EA3A44" w:rsidR="003753CA" w:rsidRDefault="003753CA" w:rsidP="000B18E5">
      <w:pPr>
        <w:pStyle w:val="NoSpacing"/>
      </w:pPr>
    </w:p>
    <w:p w14:paraId="678A513C" w14:textId="7E47FCC3" w:rsidR="007801FF" w:rsidRPr="007801FF" w:rsidRDefault="007801FF" w:rsidP="000B18E5">
      <w:pPr>
        <w:pStyle w:val="NoSpacing"/>
        <w:rPr>
          <w:lang w:val="en-CA"/>
        </w:rPr>
      </w:pPr>
      <w:r w:rsidRPr="007801FF">
        <w:t xml:space="preserve">Establishing and restricting police powers is something that is well within the authority of legislatures, and ought to be left to the legislature, not the courts. </w:t>
      </w:r>
      <w:r>
        <w:rPr>
          <w:lang w:val="en-CA"/>
        </w:rPr>
        <w:t>However</w:t>
      </w:r>
      <w:r w:rsidRPr="007801FF">
        <w:rPr>
          <w:lang w:val="en-CA"/>
        </w:rPr>
        <w:t>, courts cannot abdicate their role of incrementally adapting common law rules where legislative gaps exist. The court must be diligent in its role as a custodian over the common law, which, by its very nature is organic and must develop incrementally in tandem with a changing society</w:t>
      </w:r>
      <w:r>
        <w:rPr>
          <w:lang w:val="en-CA"/>
        </w:rPr>
        <w:t xml:space="preserve">: </w:t>
      </w:r>
      <w:r>
        <w:rPr>
          <w:i/>
          <w:lang w:val="en-CA"/>
        </w:rPr>
        <w:t>R v McColman</w:t>
      </w:r>
      <w:hyperlink r:id="rId223" w:history="1">
        <w:r w:rsidRPr="007801FF">
          <w:rPr>
            <w:rStyle w:val="Hyperlink"/>
            <w:i/>
            <w:iCs w:val="0"/>
            <w:lang w:val="en-CA"/>
          </w:rPr>
          <w:t xml:space="preserve">, </w:t>
        </w:r>
        <w:r w:rsidRPr="007801FF">
          <w:rPr>
            <w:rStyle w:val="Hyperlink"/>
            <w:lang w:val="en-CA"/>
          </w:rPr>
          <w:t>2021 ONCA 382</w:t>
        </w:r>
      </w:hyperlink>
      <w:r>
        <w:rPr>
          <w:lang w:val="en-CA"/>
        </w:rPr>
        <w:t>, at paras 49-50</w:t>
      </w:r>
    </w:p>
    <w:p w14:paraId="0B788F74" w14:textId="77777777" w:rsidR="007801FF" w:rsidRDefault="007801FF" w:rsidP="000B18E5">
      <w:pPr>
        <w:pStyle w:val="NoSpacing"/>
      </w:pPr>
    </w:p>
    <w:p w14:paraId="4F8E9E20" w14:textId="405B592B" w:rsidR="004F3724" w:rsidRPr="00BB3634" w:rsidRDefault="004F3724" w:rsidP="000B18E5">
      <w:pPr>
        <w:pStyle w:val="NoSpacing"/>
      </w:pPr>
      <w:r w:rsidRPr="00BB3634">
        <w:t xml:space="preserve">Absent statutory authority to legitimize police conduct, the common law may prevail, pursuant to the Waterfield analysis/ancillary powers doctrine. At the preliminary step of the analysis, the police power that is being asserted and the liberty interests that are at stake must be clearly defined. The analysis then proceeds in two stages. </w:t>
      </w:r>
    </w:p>
    <w:p w14:paraId="1D31F151" w14:textId="3FBA2875" w:rsidR="00BC5F93" w:rsidRDefault="004F3724" w:rsidP="00BB3634">
      <w:pPr>
        <w:spacing w:before="100" w:beforeAutospacing="1" w:after="100" w:afterAutospacing="1" w:line="276" w:lineRule="auto"/>
        <w:jc w:val="both"/>
        <w:rPr>
          <w:rFonts w:ascii="Arial" w:hAnsi="Arial" w:cs="Arial"/>
        </w:rPr>
      </w:pPr>
      <w:r w:rsidRPr="00BB3634">
        <w:rPr>
          <w:rFonts w:ascii="Arial" w:hAnsi="Arial" w:cs="Arial"/>
        </w:rPr>
        <w:t xml:space="preserve">The first inquiry or step requires a determination of whether the police conduct that gives rise to the interference falls within the general scope of any duty imposed upon an officer by state or at common law. </w:t>
      </w:r>
    </w:p>
    <w:p w14:paraId="2003755D" w14:textId="0E395DCC" w:rsidR="00BC5F93" w:rsidRPr="00BC5F93" w:rsidRDefault="00BC5F93" w:rsidP="000B18E5">
      <w:pPr>
        <w:pStyle w:val="NoSpacing"/>
      </w:pPr>
      <w:r w:rsidRPr="00BC5F93">
        <w:t>Police officers have broad duties in relation to the public, as reflected in s. 42 of Ontario’s</w:t>
      </w:r>
      <w:r w:rsidRPr="00BC5F93">
        <w:rPr>
          <w:i/>
        </w:rPr>
        <w:t> Police Services Act</w:t>
      </w:r>
      <w:r w:rsidRPr="00BC5F93">
        <w:t>. Included within these duties, is “the preservation of the peace, the prevention of crime, and the protection of life and property”:</w:t>
      </w:r>
    </w:p>
    <w:p w14:paraId="5DE7E389" w14:textId="6923CB0F" w:rsidR="004F3724" w:rsidRPr="00BB3634" w:rsidRDefault="004F3724" w:rsidP="00BB3634">
      <w:pPr>
        <w:spacing w:before="100" w:beforeAutospacing="1" w:after="100" w:afterAutospacing="1" w:line="276" w:lineRule="auto"/>
        <w:jc w:val="both"/>
        <w:rPr>
          <w:rFonts w:ascii="Arial" w:hAnsi="Arial" w:cs="Arial"/>
        </w:rPr>
      </w:pPr>
      <w:r w:rsidRPr="00BB3634">
        <w:rPr>
          <w:rFonts w:ascii="Arial" w:hAnsi="Arial" w:cs="Arial"/>
        </w:rPr>
        <w:t>Where this threshold has been met, the second step or stage requires a determination of whether the conduct, albeit within the general scope of such a duty, involved an unjustifiable use of powers associated with the duty.</w:t>
      </w:r>
    </w:p>
    <w:p w14:paraId="2410F875" w14:textId="77777777" w:rsidR="004F3724" w:rsidRPr="00BB3634" w:rsidRDefault="004F3724" w:rsidP="00BB3634">
      <w:pPr>
        <w:spacing w:before="100" w:beforeAutospacing="1" w:after="100" w:afterAutospacing="1" w:line="276" w:lineRule="auto"/>
        <w:jc w:val="both"/>
        <w:rPr>
          <w:rFonts w:ascii="Arial" w:hAnsi="Arial" w:cs="Arial"/>
        </w:rPr>
      </w:pPr>
      <w:r w:rsidRPr="00BB3634">
        <w:rPr>
          <w:rFonts w:ascii="Arial" w:hAnsi="Arial" w:cs="Arial"/>
        </w:rPr>
        <w:t xml:space="preserve">The second step or stage involves and requires a balancing of the competing interests of the police duty and the liberty interests at stake. This entails consideration of whether an invasion of individual rights is necessary for the police to perform their duty, and whether the invasion is reasonable, in light of the public purposes served by effective control of criminal conduct, on the one hand, and respect for the liberty and fundamental dignity of individuals, on the other. Relevant factors to consider include: </w:t>
      </w:r>
    </w:p>
    <w:p w14:paraId="3A185362" w14:textId="77777777" w:rsidR="004F3724" w:rsidRPr="00BB3634" w:rsidRDefault="004F3724" w:rsidP="00BB3634">
      <w:pPr>
        <w:pStyle w:val="ListParagraph"/>
        <w:numPr>
          <w:ilvl w:val="0"/>
          <w:numId w:val="20"/>
        </w:numPr>
        <w:spacing w:before="100" w:beforeAutospacing="1" w:after="100" w:afterAutospacing="1" w:line="276" w:lineRule="auto"/>
        <w:jc w:val="both"/>
        <w:rPr>
          <w:rFonts w:ascii="Arial" w:hAnsi="Arial" w:cs="Arial"/>
          <w:sz w:val="24"/>
          <w:szCs w:val="24"/>
        </w:rPr>
      </w:pPr>
      <w:r w:rsidRPr="00BB3634">
        <w:rPr>
          <w:rFonts w:ascii="Arial" w:hAnsi="Arial" w:cs="Arial"/>
          <w:sz w:val="24"/>
          <w:szCs w:val="24"/>
        </w:rPr>
        <w:t>the duty being performed;</w:t>
      </w:r>
    </w:p>
    <w:p w14:paraId="524396E4" w14:textId="77777777" w:rsidR="004F3724" w:rsidRPr="00BB3634" w:rsidRDefault="004F3724" w:rsidP="00BB3634">
      <w:pPr>
        <w:pStyle w:val="ListParagraph"/>
        <w:numPr>
          <w:ilvl w:val="0"/>
          <w:numId w:val="20"/>
        </w:numPr>
        <w:spacing w:before="100" w:beforeAutospacing="1" w:after="100" w:afterAutospacing="1" w:line="276" w:lineRule="auto"/>
        <w:jc w:val="both"/>
        <w:rPr>
          <w:rFonts w:ascii="Arial" w:hAnsi="Arial" w:cs="Arial"/>
          <w:sz w:val="24"/>
          <w:szCs w:val="24"/>
        </w:rPr>
      </w:pPr>
      <w:r w:rsidRPr="00BB3634">
        <w:rPr>
          <w:rFonts w:ascii="Arial" w:hAnsi="Arial" w:cs="Arial"/>
          <w:sz w:val="24"/>
          <w:szCs w:val="24"/>
        </w:rPr>
        <w:t>the extent to which some interference with individual liberty is necessary to perform that duty;</w:t>
      </w:r>
    </w:p>
    <w:p w14:paraId="06007CD4" w14:textId="77777777" w:rsidR="004F3724" w:rsidRPr="00BB3634" w:rsidRDefault="004F3724" w:rsidP="00BB3634">
      <w:pPr>
        <w:pStyle w:val="ListParagraph"/>
        <w:numPr>
          <w:ilvl w:val="0"/>
          <w:numId w:val="20"/>
        </w:numPr>
        <w:spacing w:before="100" w:beforeAutospacing="1" w:after="100" w:afterAutospacing="1" w:line="276" w:lineRule="auto"/>
        <w:jc w:val="both"/>
        <w:rPr>
          <w:rFonts w:ascii="Arial" w:hAnsi="Arial" w:cs="Arial"/>
          <w:sz w:val="24"/>
          <w:szCs w:val="24"/>
        </w:rPr>
      </w:pPr>
      <w:r w:rsidRPr="00BB3634">
        <w:rPr>
          <w:rFonts w:ascii="Arial" w:hAnsi="Arial" w:cs="Arial"/>
          <w:sz w:val="24"/>
          <w:szCs w:val="24"/>
        </w:rPr>
        <w:t>the importance to the public good of the performance of that duty;</w:t>
      </w:r>
    </w:p>
    <w:p w14:paraId="5BC175E1" w14:textId="77777777" w:rsidR="004F3724" w:rsidRPr="00BB3634" w:rsidRDefault="004F3724" w:rsidP="00BB3634">
      <w:pPr>
        <w:pStyle w:val="ListParagraph"/>
        <w:numPr>
          <w:ilvl w:val="0"/>
          <w:numId w:val="20"/>
        </w:numPr>
        <w:spacing w:before="100" w:beforeAutospacing="1" w:after="100" w:afterAutospacing="1" w:line="276" w:lineRule="auto"/>
        <w:jc w:val="both"/>
        <w:rPr>
          <w:rFonts w:ascii="Arial" w:hAnsi="Arial" w:cs="Arial"/>
          <w:sz w:val="24"/>
          <w:szCs w:val="24"/>
        </w:rPr>
      </w:pPr>
      <w:r w:rsidRPr="00BB3634">
        <w:rPr>
          <w:rFonts w:ascii="Arial" w:hAnsi="Arial" w:cs="Arial"/>
          <w:sz w:val="24"/>
          <w:szCs w:val="24"/>
        </w:rPr>
        <w:lastRenderedPageBreak/>
        <w:t>the liberty intruded upon;</w:t>
      </w:r>
    </w:p>
    <w:p w14:paraId="27D420AA" w14:textId="77777777" w:rsidR="004F3724" w:rsidRPr="00BB3634" w:rsidRDefault="004F3724" w:rsidP="00BB3634">
      <w:pPr>
        <w:pStyle w:val="ListParagraph"/>
        <w:numPr>
          <w:ilvl w:val="0"/>
          <w:numId w:val="20"/>
        </w:numPr>
        <w:spacing w:before="100" w:beforeAutospacing="1" w:after="100" w:afterAutospacing="1" w:line="276" w:lineRule="auto"/>
        <w:jc w:val="both"/>
        <w:rPr>
          <w:rFonts w:ascii="Arial" w:hAnsi="Arial" w:cs="Arial"/>
          <w:sz w:val="24"/>
          <w:szCs w:val="24"/>
        </w:rPr>
      </w:pPr>
      <w:r w:rsidRPr="00BB3634">
        <w:rPr>
          <w:rFonts w:ascii="Arial" w:hAnsi="Arial" w:cs="Arial"/>
          <w:sz w:val="24"/>
          <w:szCs w:val="24"/>
        </w:rPr>
        <w:t>the nature and extent of the intrusion; and</w:t>
      </w:r>
    </w:p>
    <w:p w14:paraId="0FF5F121" w14:textId="1A0D4D71" w:rsidR="004F3724" w:rsidRPr="00BB3634" w:rsidRDefault="004F3724" w:rsidP="00BB3634">
      <w:pPr>
        <w:pStyle w:val="ListParagraph"/>
        <w:numPr>
          <w:ilvl w:val="0"/>
          <w:numId w:val="20"/>
        </w:numPr>
        <w:spacing w:before="100" w:beforeAutospacing="1" w:after="100" w:afterAutospacing="1" w:line="276" w:lineRule="auto"/>
        <w:jc w:val="both"/>
        <w:rPr>
          <w:rFonts w:ascii="Arial" w:hAnsi="Arial" w:cs="Arial"/>
          <w:sz w:val="24"/>
          <w:szCs w:val="24"/>
        </w:rPr>
      </w:pPr>
      <w:r w:rsidRPr="00BB3634">
        <w:rPr>
          <w:rFonts w:ascii="Arial" w:hAnsi="Arial" w:cs="Arial"/>
          <w:sz w:val="24"/>
          <w:szCs w:val="24"/>
        </w:rPr>
        <w:t xml:space="preserve">the context in which the police/citizen confrontation took place: </w:t>
      </w:r>
      <w:r w:rsidRPr="00BB3634">
        <w:rPr>
          <w:rFonts w:ascii="Arial" w:hAnsi="Arial" w:cs="Arial"/>
          <w:i/>
          <w:sz w:val="24"/>
          <w:szCs w:val="24"/>
        </w:rPr>
        <w:t>R v Gonzales,</w:t>
      </w:r>
      <w:r w:rsidRPr="00BB3634">
        <w:rPr>
          <w:rFonts w:ascii="Arial" w:hAnsi="Arial" w:cs="Arial"/>
          <w:sz w:val="24"/>
          <w:szCs w:val="24"/>
        </w:rPr>
        <w:t xml:space="preserve"> </w:t>
      </w:r>
      <w:hyperlink r:id="rId224" w:history="1">
        <w:r w:rsidR="00C0073E" w:rsidRPr="00C0073E">
          <w:rPr>
            <w:rStyle w:val="Hyperlink"/>
            <w:rFonts w:ascii="Arial" w:hAnsi="Arial" w:cs="Arial"/>
            <w:sz w:val="24"/>
            <w:szCs w:val="24"/>
          </w:rPr>
          <w:t>2017 ONCA 543</w:t>
        </w:r>
      </w:hyperlink>
      <w:r w:rsidR="00C0073E">
        <w:rPr>
          <w:rFonts w:ascii="Arial" w:hAnsi="Arial" w:cs="Arial"/>
          <w:sz w:val="24"/>
          <w:szCs w:val="24"/>
        </w:rPr>
        <w:t xml:space="preserve">, </w:t>
      </w:r>
      <w:r w:rsidRPr="00BB3634">
        <w:rPr>
          <w:rFonts w:ascii="Arial" w:hAnsi="Arial" w:cs="Arial"/>
          <w:sz w:val="24"/>
          <w:szCs w:val="24"/>
        </w:rPr>
        <w:t>at paras 62-63</w:t>
      </w:r>
      <w:r w:rsidR="00BC5F93">
        <w:rPr>
          <w:rFonts w:ascii="Arial" w:hAnsi="Arial" w:cs="Arial"/>
          <w:sz w:val="24"/>
          <w:szCs w:val="24"/>
        </w:rPr>
        <w:t xml:space="preserve">; see also </w:t>
      </w:r>
      <w:r w:rsidR="00BC5F93">
        <w:rPr>
          <w:rFonts w:ascii="Arial" w:hAnsi="Arial" w:cs="Arial"/>
          <w:i/>
          <w:iCs/>
          <w:sz w:val="24"/>
          <w:szCs w:val="24"/>
        </w:rPr>
        <w:t xml:space="preserve">R v McColman, </w:t>
      </w:r>
      <w:hyperlink r:id="rId225" w:history="1">
        <w:r w:rsidR="00BC5F93" w:rsidRPr="00BC5F93">
          <w:rPr>
            <w:rStyle w:val="Hyperlink"/>
            <w:rFonts w:ascii="Arial" w:hAnsi="Arial" w:cs="Arial"/>
            <w:sz w:val="24"/>
            <w:szCs w:val="24"/>
          </w:rPr>
          <w:t>2021 ONCA 382</w:t>
        </w:r>
      </w:hyperlink>
      <w:r w:rsidR="00BC5F93">
        <w:rPr>
          <w:rFonts w:ascii="Arial" w:hAnsi="Arial" w:cs="Arial"/>
          <w:sz w:val="24"/>
          <w:szCs w:val="24"/>
        </w:rPr>
        <w:t>, at paras 45-64</w:t>
      </w:r>
    </w:p>
    <w:p w14:paraId="07D87C21" w14:textId="110C2293" w:rsidR="00BC5F93" w:rsidRPr="00BB3634" w:rsidRDefault="00BC5F93" w:rsidP="000B18E5">
      <w:pPr>
        <w:pStyle w:val="NoSpacing"/>
      </w:pPr>
    </w:p>
    <w:p w14:paraId="75191DAE" w14:textId="74AE1007" w:rsidR="00DB08A3" w:rsidRPr="00BB3634" w:rsidRDefault="00DB08A3" w:rsidP="000B18E5">
      <w:pPr>
        <w:pStyle w:val="NoSpacing"/>
      </w:pPr>
      <w:r w:rsidRPr="00BB3634">
        <w:t>Throughout the analysis, the onus is always on the state.</w:t>
      </w:r>
    </w:p>
    <w:p w14:paraId="4B756149" w14:textId="77777777" w:rsidR="00DB08A3" w:rsidRPr="00BB3634" w:rsidRDefault="00DB08A3" w:rsidP="000B18E5">
      <w:pPr>
        <w:pStyle w:val="NoSpacing"/>
      </w:pPr>
    </w:p>
    <w:p w14:paraId="0C070777" w14:textId="5FDD5206" w:rsidR="00DB08A3" w:rsidRPr="00BB3634" w:rsidRDefault="00DB08A3" w:rsidP="000B18E5">
      <w:pPr>
        <w:pStyle w:val="NoSpacing"/>
      </w:pPr>
      <w:r w:rsidRPr="00BB3634">
        <w:t>The second stage of the ancillary powers doctrine must always be applied with rigour to ensure that the state has satisfied its burden of demonstrating that the interference with individual liberty is justified and necessary. The standard of justification must be commensurate with the fundamental rights at stake</w:t>
      </w:r>
      <w:r w:rsidR="003440EC" w:rsidRPr="00BB3634">
        <w:t>.</w:t>
      </w:r>
    </w:p>
    <w:p w14:paraId="48A08E5D" w14:textId="52826BFD" w:rsidR="003440EC" w:rsidRPr="00BB3634" w:rsidRDefault="003440EC" w:rsidP="000B18E5">
      <w:pPr>
        <w:pStyle w:val="NoSpacing"/>
      </w:pPr>
    </w:p>
    <w:p w14:paraId="70759975" w14:textId="205F6B4B" w:rsidR="003440EC" w:rsidRPr="00BB3634" w:rsidRDefault="003440EC" w:rsidP="000B18E5">
      <w:pPr>
        <w:pStyle w:val="NoSpacing"/>
      </w:pPr>
      <w:r w:rsidRPr="00BB3634">
        <w:t>An arrest cannot be justified of someone engaged in lawful activity in order to prevent an anticipated breach of the peace</w:t>
      </w:r>
    </w:p>
    <w:p w14:paraId="07A3CDDA" w14:textId="321CE11D" w:rsidR="003440EC" w:rsidRPr="00BB3634" w:rsidRDefault="003440EC" w:rsidP="000B18E5">
      <w:pPr>
        <w:pStyle w:val="NoSpacing"/>
      </w:pPr>
    </w:p>
    <w:p w14:paraId="18F4E2DD" w14:textId="1CAB4B78" w:rsidR="003440EC" w:rsidRPr="00BB3634" w:rsidRDefault="003440EC" w:rsidP="000B18E5">
      <w:pPr>
        <w:pStyle w:val="NoSpacing"/>
      </w:pPr>
      <w:r w:rsidRPr="00BB3634">
        <w:rPr>
          <w:i/>
        </w:rPr>
        <w:t xml:space="preserve">Fleming v Ontario, </w:t>
      </w:r>
      <w:hyperlink r:id="rId226" w:history="1">
        <w:r w:rsidRPr="00BB3634">
          <w:rPr>
            <w:rStyle w:val="Hyperlink"/>
          </w:rPr>
          <w:t>2019 SCC 45</w:t>
        </w:r>
      </w:hyperlink>
    </w:p>
    <w:p w14:paraId="6A1197DB" w14:textId="1F5BBD02" w:rsidR="005C0227" w:rsidRPr="00BB3634" w:rsidRDefault="00D23AF9" w:rsidP="00BB3634">
      <w:pPr>
        <w:pStyle w:val="Heading2"/>
        <w:spacing w:line="276" w:lineRule="auto"/>
        <w:rPr>
          <w:rFonts w:cs="Arial"/>
        </w:rPr>
      </w:pPr>
      <w:bookmarkStart w:id="89" w:name="_Toc94360170"/>
      <w:r w:rsidRPr="00BB3634">
        <w:rPr>
          <w:rFonts w:cs="Arial"/>
        </w:rPr>
        <w:t>D</w:t>
      </w:r>
      <w:r w:rsidR="005C0227" w:rsidRPr="00BB3634">
        <w:rPr>
          <w:rFonts w:cs="Arial"/>
        </w:rPr>
        <w:t>efinition of “</w:t>
      </w:r>
      <w:r w:rsidRPr="00BB3634">
        <w:rPr>
          <w:rFonts w:cs="Arial"/>
        </w:rPr>
        <w:t>A</w:t>
      </w:r>
      <w:r w:rsidR="005C0227" w:rsidRPr="00BB3634">
        <w:rPr>
          <w:rFonts w:cs="Arial"/>
        </w:rPr>
        <w:t>rbitrary”</w:t>
      </w:r>
      <w:bookmarkEnd w:id="89"/>
    </w:p>
    <w:p w14:paraId="77C53400" w14:textId="29DC0CA8" w:rsidR="005C0227" w:rsidRPr="00BB3634" w:rsidRDefault="005C0227" w:rsidP="000B18E5">
      <w:pPr>
        <w:pStyle w:val="NoSpacing"/>
      </w:pPr>
      <w:r w:rsidRPr="00BB3634">
        <w:t>A lawful detention is not arbitrary within s. 9 of the Charter unless the law authorizing the detention is itself arbitrary. On the other hand, a detention not authorized by law is</w:t>
      </w:r>
      <w:r w:rsidRPr="00BB3634">
        <w:rPr>
          <w:rStyle w:val="Emphasis"/>
          <w:sz w:val="24"/>
          <w:szCs w:val="24"/>
        </w:rPr>
        <w:t> </w:t>
      </w:r>
      <w:r w:rsidRPr="00BB3634">
        <w:t xml:space="preserve">arbitrary and violates s. 9 of the Charter: </w:t>
      </w:r>
    </w:p>
    <w:p w14:paraId="79DE4A24" w14:textId="77777777" w:rsidR="005C0227" w:rsidRPr="00BB3634" w:rsidRDefault="005C0227" w:rsidP="000B18E5">
      <w:pPr>
        <w:pStyle w:val="NoSpacing"/>
      </w:pPr>
    </w:p>
    <w:p w14:paraId="1F0AE2AD" w14:textId="449C20E4" w:rsidR="00D743FB" w:rsidRPr="00BB3634" w:rsidRDefault="005C0227" w:rsidP="000B18E5">
      <w:pPr>
        <w:pStyle w:val="NoSpacing"/>
      </w:pPr>
      <w:r w:rsidRPr="00BB3634">
        <w:t xml:space="preserve">A discretionary statutory authority may be arbitrary where the statute provides no criteria, express or implied, to govern its exercise. A discretion to detain persons will be arbitrary if there are no criteria, express or implied, which govern its exercise. A detention governed by unstructured discretion is arbitrary: </w:t>
      </w:r>
      <w:r w:rsidRPr="00BB3634">
        <w:rPr>
          <w:i/>
        </w:rPr>
        <w:t xml:space="preserve">R v Donnelly, </w:t>
      </w:r>
      <w:hyperlink r:id="rId227" w:history="1">
        <w:r w:rsidRPr="00BB3634">
          <w:rPr>
            <w:rStyle w:val="Hyperlink"/>
          </w:rPr>
          <w:t>2016 ONCA 988</w:t>
        </w:r>
      </w:hyperlink>
      <w:r w:rsidRPr="00BB3634">
        <w:t xml:space="preserve"> at paras 69-70</w:t>
      </w:r>
    </w:p>
    <w:p w14:paraId="34A6AE7C" w14:textId="77777777" w:rsidR="005956AC" w:rsidRPr="00BB3634" w:rsidRDefault="005956AC" w:rsidP="000B18E5">
      <w:pPr>
        <w:pStyle w:val="NoSpacing"/>
      </w:pPr>
    </w:p>
    <w:p w14:paraId="3E9F41C7" w14:textId="74A400A1" w:rsidR="00D743FB" w:rsidRPr="00BB3634" w:rsidRDefault="00D743FB" w:rsidP="00BB3634">
      <w:pPr>
        <w:pStyle w:val="Heading2"/>
        <w:spacing w:line="276" w:lineRule="auto"/>
        <w:rPr>
          <w:rFonts w:cs="Arial"/>
        </w:rPr>
      </w:pPr>
      <w:bookmarkStart w:id="90" w:name="_Toc94360171"/>
      <w:r w:rsidRPr="00BB3634">
        <w:rPr>
          <w:rFonts w:cs="Arial"/>
        </w:rPr>
        <w:t>General Principles on Arrest</w:t>
      </w:r>
      <w:bookmarkEnd w:id="90"/>
    </w:p>
    <w:p w14:paraId="7FCFC0A3" w14:textId="77777777" w:rsidR="005956AC" w:rsidRPr="00BB3634" w:rsidRDefault="005956AC" w:rsidP="000B18E5">
      <w:pPr>
        <w:pStyle w:val="NoSpacing"/>
      </w:pPr>
    </w:p>
    <w:p w14:paraId="6E89A7EC" w14:textId="0FE0BD3A" w:rsidR="00761958" w:rsidRPr="00761958" w:rsidRDefault="00761958" w:rsidP="00761958">
      <w:pPr>
        <w:pStyle w:val="NoSpacing"/>
      </w:pPr>
      <w:r>
        <w:t>A</w:t>
      </w:r>
      <w:r w:rsidRPr="00761958">
        <w:t>n arrest consists either of (i) the actual seizure or touching of a person’s body with a view to his detention, or (ii) the pronouncing of “words of arrest” to a person who submits to the arresting officer. The substance of what the accused can reasonably be supposed to have understood, rather than the formalism of the precise words used</w:t>
      </w:r>
      <w:r>
        <w:t xml:space="preserve"> matters.</w:t>
      </w:r>
      <w:r w:rsidRPr="00761958">
        <w:t xml:space="preserve"> </w:t>
      </w:r>
      <w:r>
        <w:t>T</w:t>
      </w:r>
      <w:r w:rsidRPr="00761958">
        <w:t xml:space="preserve">he test asks what the accused can reasonably </w:t>
      </w:r>
      <w:r w:rsidRPr="00761958">
        <w:lastRenderedPageBreak/>
        <w:t>be supposed to have understood in light of what he was told, viewed reasonably in all the circumstances of the case</w:t>
      </w:r>
      <w:r>
        <w:t xml:space="preserve">: </w:t>
      </w:r>
      <w:r>
        <w:rPr>
          <w:i/>
          <w:iCs w:val="0"/>
        </w:rPr>
        <w:t xml:space="preserve">R v Bielli, </w:t>
      </w:r>
      <w:hyperlink r:id="rId228" w:history="1">
        <w:r w:rsidRPr="00761958">
          <w:rPr>
            <w:rStyle w:val="Hyperlink"/>
          </w:rPr>
          <w:t>2021 ONCA 222</w:t>
        </w:r>
      </w:hyperlink>
      <w:r>
        <w:t>, at paras 69-70</w:t>
      </w:r>
    </w:p>
    <w:p w14:paraId="17B89484" w14:textId="77777777" w:rsidR="00761958" w:rsidRDefault="00761958" w:rsidP="000B18E5">
      <w:pPr>
        <w:pStyle w:val="NoSpacing"/>
      </w:pPr>
    </w:p>
    <w:p w14:paraId="7EAB32CD" w14:textId="6F407AEC" w:rsidR="00D743FB" w:rsidRPr="00BB3634" w:rsidRDefault="00D743FB" w:rsidP="000B18E5">
      <w:pPr>
        <w:pStyle w:val="NoSpacing"/>
      </w:pPr>
      <w:r w:rsidRPr="00BB3634">
        <w:t>An arresting officer must subjectively have reasonable and probable grounds on which to base the arrest. Further, those grounds must be objectively justifiable to a reasonable person placed in the position of the officer: </w:t>
      </w:r>
      <w:r w:rsidRPr="00BB3634">
        <w:rPr>
          <w:i/>
        </w:rPr>
        <w:t>Dhillion </w:t>
      </w:r>
      <w:r w:rsidRPr="00BB3634">
        <w:t>at para 24</w:t>
      </w:r>
    </w:p>
    <w:p w14:paraId="1314BABA" w14:textId="1D4C1AEF" w:rsidR="00E02420" w:rsidRPr="00BB3634" w:rsidRDefault="00E02420" w:rsidP="000B18E5">
      <w:pPr>
        <w:pStyle w:val="NoSpacing"/>
      </w:pPr>
    </w:p>
    <w:p w14:paraId="46C9A80E" w14:textId="77777777" w:rsidR="00E02420" w:rsidRPr="00BB3634" w:rsidRDefault="00E02420" w:rsidP="000B18E5">
      <w:pPr>
        <w:pStyle w:val="NoSpacing"/>
      </w:pPr>
      <w:r w:rsidRPr="00BB3634">
        <w:t xml:space="preserve">The subjective component of the relevant legal standards plays an important role in ensuring that the police act for legitimate purposes and turn their minds to the legal authority they possess: </w:t>
      </w:r>
      <w:r w:rsidRPr="00BB3634">
        <w:rPr>
          <w:i/>
        </w:rPr>
        <w:t>R. v. Lai</w:t>
      </w:r>
      <w:r w:rsidRPr="00BB3634">
        <w:t xml:space="preserve">, 2019 ONCA 420, at paras. 29-30; </w:t>
      </w:r>
      <w:r w:rsidRPr="00BB3634">
        <w:rPr>
          <w:i/>
        </w:rPr>
        <w:t xml:space="preserve">R v Dudhi, </w:t>
      </w:r>
      <w:hyperlink r:id="rId229" w:history="1">
        <w:r w:rsidRPr="00BB3634">
          <w:rPr>
            <w:rStyle w:val="Hyperlink"/>
          </w:rPr>
          <w:t>2019 ONCA 665</w:t>
        </w:r>
      </w:hyperlink>
      <w:r w:rsidRPr="00BB3634">
        <w:t>, at para 64</w:t>
      </w:r>
    </w:p>
    <w:p w14:paraId="0BB2007E" w14:textId="77777777" w:rsidR="00E02420" w:rsidRPr="00BB3634" w:rsidRDefault="00E02420" w:rsidP="000B18E5">
      <w:pPr>
        <w:pStyle w:val="NoSpacing"/>
      </w:pPr>
    </w:p>
    <w:p w14:paraId="08C8D591" w14:textId="77777777" w:rsidR="00D743FB" w:rsidRPr="00BB3634" w:rsidRDefault="00D743FB" w:rsidP="000B18E5">
      <w:pPr>
        <w:pStyle w:val="NoSpacing"/>
      </w:pPr>
      <w:r w:rsidRPr="00BB3634">
        <w:rPr>
          <w:rStyle w:val="wixguard"/>
        </w:rPr>
        <w:t>​</w:t>
      </w:r>
    </w:p>
    <w:p w14:paraId="1BB5CF27" w14:textId="77777777" w:rsidR="00D743FB" w:rsidRPr="00BB3634" w:rsidRDefault="00D743FB" w:rsidP="000B18E5">
      <w:pPr>
        <w:pStyle w:val="NoSpacing"/>
      </w:pPr>
      <w:r w:rsidRPr="00BB3634">
        <w:t>The standard is met at the point where credibly-based probability replaces suspicion: </w:t>
      </w:r>
      <w:r w:rsidRPr="00BB3634">
        <w:rPr>
          <w:i/>
        </w:rPr>
        <w:t>Dhillion, </w:t>
      </w:r>
      <w:r w:rsidRPr="00BB3634">
        <w:t>at para 25</w:t>
      </w:r>
    </w:p>
    <w:p w14:paraId="28D8DCD7" w14:textId="77777777" w:rsidR="00D743FB" w:rsidRPr="00BB3634" w:rsidRDefault="00D743FB" w:rsidP="000B18E5">
      <w:pPr>
        <w:pStyle w:val="NoSpacing"/>
      </w:pPr>
      <w:r w:rsidRPr="00BB3634">
        <w:rPr>
          <w:rStyle w:val="wixguard"/>
        </w:rPr>
        <w:t>​</w:t>
      </w:r>
    </w:p>
    <w:p w14:paraId="229CFD7F" w14:textId="11D0FEDE" w:rsidR="00D743FB" w:rsidRPr="00BB3634" w:rsidRDefault="00D743FB" w:rsidP="000B18E5">
      <w:pPr>
        <w:pStyle w:val="NoSpacing"/>
      </w:pPr>
      <w:r w:rsidRPr="00BB3634">
        <w:t>Reasonable grounds can be based on a reasonable belief that certain facts exist even if it turns out that the belief is mistaken: </w:t>
      </w:r>
      <w:r w:rsidRPr="00BB3634">
        <w:rPr>
          <w:i/>
        </w:rPr>
        <w:t>R v Robinson, </w:t>
      </w:r>
      <w:hyperlink r:id="rId230" w:tgtFrame="_blank" w:history="1">
        <w:r w:rsidRPr="00BB3634">
          <w:rPr>
            <w:rStyle w:val="Hyperlink"/>
            <w:color w:val="auto"/>
          </w:rPr>
          <w:t>2016 ONCA 402</w:t>
        </w:r>
      </w:hyperlink>
      <w:r w:rsidRPr="00BB3634">
        <w:t> at para 40</w:t>
      </w:r>
      <w:r w:rsidR="00BB7AB4" w:rsidRPr="00BB3634">
        <w:t xml:space="preserve">; </w:t>
      </w:r>
      <w:r w:rsidR="00BB7AB4" w:rsidRPr="00BB3634">
        <w:rPr>
          <w:i/>
        </w:rPr>
        <w:t xml:space="preserve">R v Gerson-Foster, </w:t>
      </w:r>
      <w:hyperlink r:id="rId231" w:history="1">
        <w:r w:rsidR="00BB7AB4" w:rsidRPr="00BB3634">
          <w:rPr>
            <w:rStyle w:val="Hyperlink"/>
          </w:rPr>
          <w:t>2019 ONCA 405</w:t>
        </w:r>
      </w:hyperlink>
      <w:r w:rsidR="00BB7AB4" w:rsidRPr="00BB3634">
        <w:t xml:space="preserve">, at para 70. </w:t>
      </w:r>
      <w:r w:rsidRPr="00BB3634">
        <w:t>But, for example, see </w:t>
      </w:r>
      <w:r w:rsidRPr="00BB3634">
        <w:rPr>
          <w:i/>
        </w:rPr>
        <w:t>R v Brown, 2012 ONCA 225, </w:t>
      </w:r>
      <w:r w:rsidRPr="00BB3634">
        <w:t>in which two officers with the same information arrived at different conclusions as to the existence of reasonable grounds  </w:t>
      </w:r>
    </w:p>
    <w:p w14:paraId="7BB5BF5C" w14:textId="77777777" w:rsidR="00D743FB" w:rsidRPr="00BB3634" w:rsidRDefault="00D743FB" w:rsidP="000B18E5">
      <w:pPr>
        <w:pStyle w:val="NoSpacing"/>
      </w:pPr>
      <w:r w:rsidRPr="00BB3634">
        <w:rPr>
          <w:rStyle w:val="wixguard"/>
        </w:rPr>
        <w:t>​</w:t>
      </w:r>
    </w:p>
    <w:p w14:paraId="067B1E8B" w14:textId="19CE44A5" w:rsidR="00D743FB" w:rsidRPr="00BB3634" w:rsidRDefault="00D743FB" w:rsidP="000B18E5">
      <w:pPr>
        <w:pStyle w:val="NoSpacing"/>
      </w:pPr>
      <w:r w:rsidRPr="00BB3634">
        <w:t>In determining whether the arresting officer had reasonable and probable grounds to arrest based on his own observations, it is irrelevant that other officers also made those observations, if those observations did not factor into the arresting officer's decision to arrest: </w:t>
      </w:r>
      <w:r w:rsidRPr="00BB3634">
        <w:rPr>
          <w:i/>
        </w:rPr>
        <w:t>R v Gonzales, </w:t>
      </w:r>
      <w:r w:rsidRPr="00BB3634">
        <w:t>2017 ONCA at para 543 at para 106</w:t>
      </w:r>
    </w:p>
    <w:p w14:paraId="192C380C" w14:textId="506EF07C" w:rsidR="00BB7AB4" w:rsidRPr="00BB3634" w:rsidRDefault="00BB7AB4" w:rsidP="000B18E5">
      <w:pPr>
        <w:pStyle w:val="NoSpacing"/>
      </w:pPr>
    </w:p>
    <w:p w14:paraId="4CA66592" w14:textId="6FD455EA" w:rsidR="00BB7AB4" w:rsidRPr="00BB3634" w:rsidRDefault="00BB7AB4" w:rsidP="00BB3634">
      <w:pPr>
        <w:spacing w:before="100" w:beforeAutospacing="1" w:after="100" w:afterAutospacing="1" w:line="276" w:lineRule="auto"/>
        <w:jc w:val="both"/>
        <w:rPr>
          <w:rFonts w:ascii="Arial" w:hAnsi="Arial" w:cs="Arial"/>
          <w:color w:val="000000"/>
        </w:rPr>
      </w:pPr>
      <w:r w:rsidRPr="00BB3634">
        <w:rPr>
          <w:rFonts w:ascii="Arial" w:hAnsi="Arial" w:cs="Arial"/>
          <w:color w:val="000000"/>
        </w:rPr>
        <w:t xml:space="preserve">Although a police officer is entitled to follow instructions from another officer to arrest someone even where the arresting officer personally lacks the objective grounds to do so, that arrest will be lawful only if the instructing officer had reasonable and probable grounds. The Crown must establish the instructing officer’s grounds by evidence: </w:t>
      </w:r>
      <w:r w:rsidRPr="00BB3634">
        <w:rPr>
          <w:rFonts w:ascii="Arial" w:hAnsi="Arial" w:cs="Arial"/>
          <w:i/>
          <w:iCs/>
          <w:color w:val="000000"/>
        </w:rPr>
        <w:t xml:space="preserve">R v Gerson-Foster, </w:t>
      </w:r>
      <w:hyperlink r:id="rId232" w:history="1">
        <w:r w:rsidRPr="00BB3634">
          <w:rPr>
            <w:rStyle w:val="Hyperlink"/>
            <w:rFonts w:ascii="Arial" w:hAnsi="Arial" w:cs="Arial"/>
          </w:rPr>
          <w:t>2019 ONCA 405</w:t>
        </w:r>
      </w:hyperlink>
      <w:r w:rsidRPr="00BB3634">
        <w:rPr>
          <w:rFonts w:ascii="Arial" w:hAnsi="Arial" w:cs="Arial"/>
          <w:color w:val="000000"/>
        </w:rPr>
        <w:t>, at para 84</w:t>
      </w:r>
    </w:p>
    <w:p w14:paraId="26937073" w14:textId="77777777" w:rsidR="00BB7AB4" w:rsidRPr="00BB3634" w:rsidRDefault="00BB7AB4" w:rsidP="00BB3634">
      <w:pPr>
        <w:spacing w:line="276" w:lineRule="auto"/>
        <w:rPr>
          <w:rFonts w:ascii="Arial" w:hAnsi="Arial" w:cs="Arial"/>
        </w:rPr>
      </w:pPr>
    </w:p>
    <w:p w14:paraId="7F38ABAD" w14:textId="70F5FE3C" w:rsidR="00BB7AB4" w:rsidRPr="00BB3634" w:rsidRDefault="00BB7AB4" w:rsidP="000B18E5">
      <w:pPr>
        <w:pStyle w:val="NoSpacing"/>
      </w:pPr>
      <w:r w:rsidRPr="00BB3634">
        <w:t xml:space="preserve">An arrest, made reasonably, may become unreasonable, thereby rendering the continued detention of the arrestee unlawful. For example, reasonable reliance by an arresting officer on erroneous information may become objectively unreasonable if, in the circumstances, the police failed to make reasonable </w:t>
      </w:r>
      <w:r w:rsidRPr="00BB3634">
        <w:lastRenderedPageBreak/>
        <w:t>inquiries which would have led to the discovery of the deficiencies or defects</w:t>
      </w:r>
      <w:r w:rsidR="00D53879" w:rsidRPr="00BB3634">
        <w:t xml:space="preserve">: </w:t>
      </w:r>
      <w:r w:rsidR="00D53879" w:rsidRPr="00BB3634">
        <w:rPr>
          <w:i/>
        </w:rPr>
        <w:t xml:space="preserve">R v Gerson-Foster, </w:t>
      </w:r>
      <w:hyperlink r:id="rId233" w:history="1">
        <w:r w:rsidR="00D53879" w:rsidRPr="00BB3634">
          <w:rPr>
            <w:rStyle w:val="Hyperlink"/>
          </w:rPr>
          <w:t>2019 ONCA 405</w:t>
        </w:r>
      </w:hyperlink>
      <w:r w:rsidR="00D53879" w:rsidRPr="00BB3634">
        <w:t>, at paras 87-88</w:t>
      </w:r>
    </w:p>
    <w:p w14:paraId="3C4F6030" w14:textId="77777777" w:rsidR="00D743FB" w:rsidRPr="00BB3634" w:rsidRDefault="00D743FB" w:rsidP="000B18E5">
      <w:pPr>
        <w:pStyle w:val="NoSpacing"/>
      </w:pPr>
    </w:p>
    <w:p w14:paraId="4C29D2ED" w14:textId="77777777" w:rsidR="00D743FB" w:rsidRPr="00BB3634" w:rsidRDefault="00D743FB" w:rsidP="000B18E5">
      <w:pPr>
        <w:pStyle w:val="NoSpacing"/>
      </w:pPr>
      <w:r w:rsidRPr="00BB3634">
        <w:t>An officer cannot rely upon an accused's refusal to answer questions as a factor supporting reasonable and probable grounds to arrest, as this "extracts a price for the exercise of a constitutional right:" </w:t>
      </w:r>
      <w:r w:rsidRPr="00BB3634">
        <w:rPr>
          <w:i/>
        </w:rPr>
        <w:t>Gonzales </w:t>
      </w:r>
      <w:r w:rsidRPr="00BB3634">
        <w:t>at para 105</w:t>
      </w:r>
    </w:p>
    <w:p w14:paraId="7B8D9E7E" w14:textId="77777777" w:rsidR="00D743FB" w:rsidRPr="00BB3634" w:rsidRDefault="00D743FB" w:rsidP="000B18E5">
      <w:pPr>
        <w:pStyle w:val="NoSpacing"/>
      </w:pPr>
      <w:r w:rsidRPr="00BB3634">
        <w:rPr>
          <w:rStyle w:val="wixguard"/>
        </w:rPr>
        <w:t>​</w:t>
      </w:r>
    </w:p>
    <w:p w14:paraId="03064429" w14:textId="77777777" w:rsidR="00D743FB" w:rsidRPr="00BB3634" w:rsidRDefault="00D743FB" w:rsidP="000B18E5">
      <w:pPr>
        <w:pStyle w:val="NoSpacing"/>
      </w:pPr>
      <w:r w:rsidRPr="00BB3634">
        <w:t>When considering the objective reasonableness of the subjective grounds for arrest, a court must look to the totality of the circumstances, and it is not appropriate to consider each fact in isolation: </w:t>
      </w:r>
      <w:r w:rsidRPr="00BB3634">
        <w:rPr>
          <w:i/>
        </w:rPr>
        <w:t>R v Labelle, </w:t>
      </w:r>
      <w:hyperlink r:id="rId234" w:tgtFrame="_blank" w:history="1">
        <w:r w:rsidRPr="00BB3634">
          <w:rPr>
            <w:rStyle w:val="Hyperlink"/>
            <w:color w:val="auto"/>
          </w:rPr>
          <w:t>2016 ONCA 110 </w:t>
        </w:r>
      </w:hyperlink>
      <w:r w:rsidRPr="00BB3634">
        <w:t>at para 10</w:t>
      </w:r>
    </w:p>
    <w:p w14:paraId="22717A17" w14:textId="77777777" w:rsidR="00D743FB" w:rsidRPr="00BB3634" w:rsidRDefault="00D743FB" w:rsidP="000B18E5">
      <w:pPr>
        <w:pStyle w:val="NoSpacing"/>
      </w:pPr>
      <w:r w:rsidRPr="00BB3634">
        <w:rPr>
          <w:rStyle w:val="wixguard"/>
        </w:rPr>
        <w:t>​</w:t>
      </w:r>
    </w:p>
    <w:p w14:paraId="766589BD" w14:textId="77777777" w:rsidR="00D743FB" w:rsidRPr="00BB3634" w:rsidRDefault="00D743FB" w:rsidP="000B18E5">
      <w:pPr>
        <w:pStyle w:val="NoSpacing"/>
      </w:pPr>
      <w:r w:rsidRPr="00BB3634">
        <w:t>Where confidential informant information is the basis of grounds to arrest, the </w:t>
      </w:r>
      <w:r w:rsidRPr="00BB3634">
        <w:rPr>
          <w:i/>
        </w:rPr>
        <w:t>Debot </w:t>
      </w:r>
      <w:r w:rsidRPr="00BB3634">
        <w:t>factors apply. The court must weigh whether the informant was credible, whether the information predicting the commission of a criminal offence was compelling, and whether the information was corroborated by police investigation. The totality of the circumstances must meet the standard of reasonableness: </w:t>
      </w:r>
      <w:r w:rsidRPr="00BB3634">
        <w:rPr>
          <w:i/>
        </w:rPr>
        <w:t>Dhillion </w:t>
      </w:r>
      <w:r w:rsidRPr="00BB3634">
        <w:t>at para 30</w:t>
      </w:r>
    </w:p>
    <w:p w14:paraId="30621025" w14:textId="457D45FB" w:rsidR="00D743FB" w:rsidRPr="00BB3634" w:rsidRDefault="00D743FB" w:rsidP="000B18E5">
      <w:pPr>
        <w:pStyle w:val="NoSpacing"/>
        <w:rPr>
          <w:rStyle w:val="wixguard"/>
        </w:rPr>
      </w:pPr>
      <w:r w:rsidRPr="00BB3634">
        <w:rPr>
          <w:rStyle w:val="wixguard"/>
        </w:rPr>
        <w:t>​</w:t>
      </w:r>
    </w:p>
    <w:p w14:paraId="36A23E7C" w14:textId="4654D183" w:rsidR="00D53879" w:rsidRPr="00BB3634" w:rsidRDefault="00D53879" w:rsidP="000B18E5">
      <w:pPr>
        <w:pStyle w:val="NoSpacing"/>
      </w:pPr>
      <w:r w:rsidRPr="00BB3634">
        <w:t xml:space="preserve">Since it is illegal to act in a manner that is an abuse of process, it is arguable that s. 9 can be relied upon in lieu of s. 7 where the gravamen of the complaint is that the abusive recording of CPIC information resulted in detention: </w:t>
      </w:r>
      <w:r w:rsidRPr="00BB3634">
        <w:rPr>
          <w:i/>
        </w:rPr>
        <w:t xml:space="preserve">R v Gerson-Foster, </w:t>
      </w:r>
      <w:hyperlink r:id="rId235" w:history="1">
        <w:r w:rsidRPr="00BB3634">
          <w:rPr>
            <w:rStyle w:val="Hyperlink"/>
          </w:rPr>
          <w:t>2019 ONCA 405</w:t>
        </w:r>
      </w:hyperlink>
      <w:r w:rsidRPr="00BB3634">
        <w:t>, at para 98</w:t>
      </w:r>
    </w:p>
    <w:p w14:paraId="71F276B6" w14:textId="77777777" w:rsidR="00D53879" w:rsidRPr="00BB3634" w:rsidRDefault="00D53879" w:rsidP="000B18E5">
      <w:pPr>
        <w:pStyle w:val="NoSpacing"/>
      </w:pPr>
    </w:p>
    <w:p w14:paraId="3D123847" w14:textId="77777777" w:rsidR="00D743FB" w:rsidRPr="00BB3634" w:rsidRDefault="00D743FB" w:rsidP="000B18E5">
      <w:pPr>
        <w:pStyle w:val="NoSpacing"/>
      </w:pPr>
      <w:r w:rsidRPr="00BB3634">
        <w:t>For  "a non-exhaustive legal backdrop to review of the exercise of police arrest powers" by Justice Hill, see </w:t>
      </w:r>
      <w:r w:rsidRPr="00BB3634">
        <w:rPr>
          <w:i/>
        </w:rPr>
        <w:t>R v Cunsolo, </w:t>
      </w:r>
      <w:hyperlink r:id="rId236" w:tgtFrame="_blank" w:history="1">
        <w:r w:rsidRPr="00BB3634">
          <w:rPr>
            <w:rStyle w:val="Hyperlink"/>
            <w:color w:val="auto"/>
          </w:rPr>
          <w:t>[2008] OJ No 3754</w:t>
        </w:r>
      </w:hyperlink>
      <w:r w:rsidRPr="00BB3634">
        <w:rPr>
          <w:i/>
        </w:rPr>
        <w:t> </w:t>
      </w:r>
      <w:r w:rsidRPr="00BB3634">
        <w:t>(Sup Ct Jus) at para 68; see also </w:t>
      </w:r>
      <w:r w:rsidRPr="00BB3634">
        <w:rPr>
          <w:i/>
        </w:rPr>
        <w:t>R v Censoni, </w:t>
      </w:r>
      <w:r w:rsidRPr="00BB3634">
        <w:t>[2001] OJ No 5189 (Sup Ct Jus) at paras 30-40</w:t>
      </w:r>
    </w:p>
    <w:p w14:paraId="558E3591" w14:textId="77777777" w:rsidR="00702CC3" w:rsidRPr="00BB3634" w:rsidRDefault="00702CC3" w:rsidP="00BB3634">
      <w:pPr>
        <w:spacing w:line="276" w:lineRule="auto"/>
        <w:rPr>
          <w:rFonts w:ascii="Arial" w:hAnsi="Arial" w:cs="Arial"/>
        </w:rPr>
      </w:pPr>
    </w:p>
    <w:p w14:paraId="6EB04299" w14:textId="62651865" w:rsidR="00702CC3" w:rsidRDefault="00702CC3" w:rsidP="000B18E5">
      <w:pPr>
        <w:pStyle w:val="NoSpacing"/>
      </w:pPr>
    </w:p>
    <w:p w14:paraId="5B65BDF8" w14:textId="0A0F5C37" w:rsidR="003A0766" w:rsidRDefault="003A0766" w:rsidP="00E32F34">
      <w:pPr>
        <w:pStyle w:val="Heading3"/>
        <w:numPr>
          <w:ilvl w:val="0"/>
          <w:numId w:val="58"/>
        </w:numPr>
      </w:pPr>
      <w:bookmarkStart w:id="91" w:name="_Toc94360172"/>
      <w:r>
        <w:t>Arrests inside a home</w:t>
      </w:r>
      <w:bookmarkEnd w:id="91"/>
    </w:p>
    <w:p w14:paraId="0A5171FD" w14:textId="718EBFBD" w:rsidR="003A0766" w:rsidRDefault="003A0766" w:rsidP="003A0766">
      <w:pPr>
        <w:rPr>
          <w:lang w:val="en-US"/>
        </w:rPr>
      </w:pPr>
    </w:p>
    <w:p w14:paraId="0C5EA4C8" w14:textId="38F25ADC" w:rsidR="003A0766" w:rsidRPr="003A0766" w:rsidRDefault="003A0766" w:rsidP="00C57050">
      <w:pPr>
        <w:pStyle w:val="NoSpacing"/>
      </w:pPr>
      <w:r>
        <w:t>A</w:t>
      </w:r>
      <w:r w:rsidRPr="003A0766">
        <w:t> </w:t>
      </w:r>
      <w:r w:rsidRPr="003A0766">
        <w:rPr>
          <w:i/>
        </w:rPr>
        <w:t>Feeney </w:t>
      </w:r>
      <w:r w:rsidRPr="003A0766">
        <w:t>warrant authorize</w:t>
      </w:r>
      <w:r>
        <w:t>s</w:t>
      </w:r>
      <w:r w:rsidRPr="003A0766">
        <w:t xml:space="preserve"> the police to “enter a dwelling-house described in the warrant for the purpose of arresting or apprehending” a person: </w:t>
      </w:r>
      <w:r w:rsidRPr="003A0766">
        <w:rPr>
          <w:i/>
        </w:rPr>
        <w:t>Criminal Code</w:t>
      </w:r>
      <w:r w:rsidRPr="003A0766">
        <w:t>, ss. 529(1), 529.1. The whole purpose of the </w:t>
      </w:r>
      <w:r w:rsidRPr="003A0766">
        <w:rPr>
          <w:i/>
        </w:rPr>
        <w:t>Feeney </w:t>
      </w:r>
      <w:r w:rsidRPr="003A0766">
        <w:t xml:space="preserve">warrant is to protect the elevated privacy interests in a home, requiring certain grounds to be met before entry can be made to effect an arrest. </w:t>
      </w:r>
      <w:r>
        <w:t>However, when</w:t>
      </w:r>
      <w:r w:rsidRPr="003A0766">
        <w:t xml:space="preserve"> the police </w:t>
      </w:r>
      <w:r>
        <w:t>are</w:t>
      </w:r>
      <w:r w:rsidRPr="003A0766">
        <w:t xml:space="preserve"> already legitimately </w:t>
      </w:r>
      <w:r>
        <w:t>inside</w:t>
      </w:r>
      <w:r w:rsidRPr="003A0766">
        <w:t xml:space="preserve"> a dwelling-place under the ancillary powers doctrine</w:t>
      </w:r>
      <w:r>
        <w:t xml:space="preserve">, </w:t>
      </w:r>
      <w:r w:rsidRPr="003A0766">
        <w:t xml:space="preserve"> </w:t>
      </w:r>
      <w:r>
        <w:t xml:space="preserve">they may be entitled to effect an arrest without a </w:t>
      </w:r>
      <w:r>
        <w:rPr>
          <w:i/>
        </w:rPr>
        <w:t xml:space="preserve">Feeney </w:t>
      </w:r>
      <w:r>
        <w:t xml:space="preserve">warrant: </w:t>
      </w:r>
      <w:r>
        <w:rPr>
          <w:i/>
        </w:rPr>
        <w:t xml:space="preserve">R v Stairs, </w:t>
      </w:r>
      <w:hyperlink r:id="rId237" w:history="1">
        <w:r w:rsidRPr="003A0766">
          <w:rPr>
            <w:rStyle w:val="Hyperlink"/>
          </w:rPr>
          <w:t>2020 ONCA 678</w:t>
        </w:r>
      </w:hyperlink>
      <w:r>
        <w:t>, at para 32</w:t>
      </w:r>
    </w:p>
    <w:p w14:paraId="0F6D0E32" w14:textId="3DB0157D" w:rsidR="00D743FB" w:rsidRPr="00BB3634" w:rsidRDefault="00D743FB" w:rsidP="00BB3634">
      <w:pPr>
        <w:pStyle w:val="Heading2"/>
        <w:spacing w:line="276" w:lineRule="auto"/>
        <w:rPr>
          <w:rFonts w:cs="Arial"/>
        </w:rPr>
      </w:pPr>
      <w:bookmarkStart w:id="92" w:name="_Toc94360173"/>
      <w:r w:rsidRPr="00BB3634">
        <w:rPr>
          <w:rFonts w:cs="Arial"/>
        </w:rPr>
        <w:lastRenderedPageBreak/>
        <w:t>General Principles on Detention</w:t>
      </w:r>
      <w:bookmarkEnd w:id="92"/>
    </w:p>
    <w:p w14:paraId="48D2C552" w14:textId="57F28350" w:rsidR="00EC6F02" w:rsidRDefault="00EC6F02" w:rsidP="000B18E5">
      <w:pPr>
        <w:pStyle w:val="NoSpacing"/>
      </w:pPr>
    </w:p>
    <w:p w14:paraId="1E54A635" w14:textId="02E9951A" w:rsidR="0096506F" w:rsidRPr="0096506F" w:rsidRDefault="0096506F" w:rsidP="0096506F">
      <w:pPr>
        <w:pStyle w:val="NoSpacing"/>
      </w:pPr>
      <w:r>
        <w:t xml:space="preserve">In assessing whether a detention has occurred, it would be erroneous for a trial judge to approach a detention determination by looking at the indicia of detention piecemeal or individually, without considering the evidence cumulatively: </w:t>
      </w:r>
      <w:r>
        <w:rPr>
          <w:i/>
          <w:iCs w:val="0"/>
        </w:rPr>
        <w:t xml:space="preserve">R v Ceballo, </w:t>
      </w:r>
      <w:hyperlink r:id="rId238" w:anchor="_ftn2" w:history="1">
        <w:r w:rsidRPr="0096506F">
          <w:rPr>
            <w:rStyle w:val="Hyperlink"/>
          </w:rPr>
          <w:t>2021 ONCA 791</w:t>
        </w:r>
      </w:hyperlink>
      <w:r>
        <w:t>, at para 31</w:t>
      </w:r>
    </w:p>
    <w:p w14:paraId="0DA47DC1" w14:textId="77777777" w:rsidR="0096506F" w:rsidRPr="00BB3634" w:rsidRDefault="0096506F" w:rsidP="000B18E5">
      <w:pPr>
        <w:pStyle w:val="NoSpacing"/>
      </w:pPr>
    </w:p>
    <w:p w14:paraId="21BE00F5" w14:textId="0DADEDB2" w:rsidR="00473351" w:rsidRPr="00BB3634" w:rsidRDefault="00473351" w:rsidP="007A6720">
      <w:pPr>
        <w:pStyle w:val="Heading3"/>
        <w:numPr>
          <w:ilvl w:val="0"/>
          <w:numId w:val="49"/>
        </w:numPr>
      </w:pPr>
      <w:bookmarkStart w:id="93" w:name="_Toc94360174"/>
      <w:r w:rsidRPr="00BB3634">
        <w:t>Officer’s Evidence Regarding Detention</w:t>
      </w:r>
      <w:bookmarkEnd w:id="93"/>
    </w:p>
    <w:p w14:paraId="5310B1BA" w14:textId="77777777" w:rsidR="00473351" w:rsidRPr="00BB3634" w:rsidRDefault="00473351" w:rsidP="000B18E5">
      <w:pPr>
        <w:pStyle w:val="NoSpacing"/>
      </w:pPr>
      <w:r w:rsidRPr="00BB3634">
        <w:t>Whether the circumstances were in law a detention was a legal question for the court to determine, not for the officer to dictate to the court.</w:t>
      </w:r>
    </w:p>
    <w:p w14:paraId="21561717" w14:textId="77777777" w:rsidR="00473351" w:rsidRPr="00BB3634" w:rsidRDefault="00473351" w:rsidP="000B18E5">
      <w:pPr>
        <w:pStyle w:val="NoSpacing"/>
      </w:pPr>
    </w:p>
    <w:p w14:paraId="1780D0E6" w14:textId="6E4B8723" w:rsidR="00473351" w:rsidRPr="00BB3634" w:rsidRDefault="00473351" w:rsidP="000B18E5">
      <w:pPr>
        <w:pStyle w:val="NoSpacing"/>
      </w:pPr>
      <w:r w:rsidRPr="00BB3634">
        <w:t xml:space="preserve">The fact that an officer testifies that, if the accused had tried to leave, he would have stopped him, is not determinative. What might have happened had events unfolded differently does not inform the legal character of what did happen. </w:t>
      </w:r>
      <w:r w:rsidRPr="00BB3634">
        <w:rPr>
          <w:i/>
        </w:rPr>
        <w:t>Charter</w:t>
      </w:r>
      <w:r w:rsidRPr="00BB3634">
        <w:t> rights are not breached by intention, but action: </w:t>
      </w:r>
      <w:r w:rsidRPr="00BB3634">
        <w:rPr>
          <w:i/>
        </w:rPr>
        <w:t xml:space="preserve">R v Reid, </w:t>
      </w:r>
      <w:hyperlink r:id="rId239" w:history="1">
        <w:r w:rsidRPr="00BB3634">
          <w:rPr>
            <w:rStyle w:val="Hyperlink"/>
          </w:rPr>
          <w:t>2019 ONCA 32</w:t>
        </w:r>
      </w:hyperlink>
      <w:r w:rsidRPr="00BB3634">
        <w:t>, at para 43</w:t>
      </w:r>
    </w:p>
    <w:p w14:paraId="58E8B514" w14:textId="2635F15A" w:rsidR="00EC6F02" w:rsidRPr="00BB3634" w:rsidRDefault="00EC6F02" w:rsidP="007A6720">
      <w:pPr>
        <w:pStyle w:val="Heading3"/>
        <w:numPr>
          <w:ilvl w:val="0"/>
          <w:numId w:val="49"/>
        </w:numPr>
      </w:pPr>
      <w:bookmarkStart w:id="94" w:name="_Toc94360175"/>
      <w:r w:rsidRPr="00BB3634">
        <w:t>Reasonable Suspicion Standard</w:t>
      </w:r>
      <w:bookmarkEnd w:id="94"/>
    </w:p>
    <w:p w14:paraId="603B9A43" w14:textId="77777777" w:rsidR="00EC6F02" w:rsidRPr="00BB3634" w:rsidRDefault="00EC6F02" w:rsidP="000B18E5">
      <w:pPr>
        <w:pStyle w:val="NoSpacing"/>
      </w:pPr>
    </w:p>
    <w:p w14:paraId="65C64D1C" w14:textId="77777777" w:rsidR="00D743FB" w:rsidRPr="00BB3634" w:rsidRDefault="00D743FB" w:rsidP="000B18E5">
      <w:pPr>
        <w:pStyle w:val="NoSpacing"/>
      </w:pPr>
      <w:r w:rsidRPr="00BB3634">
        <w:t>The police may detain a person for investigative purposes if they have reasonable grounds to </w:t>
      </w:r>
      <w:r w:rsidRPr="00BB3634">
        <w:rPr>
          <w:u w:val="single"/>
        </w:rPr>
        <w:t>suspect</w:t>
      </w:r>
      <w:r w:rsidRPr="00BB3634">
        <w:t> that the person is connected to particular criminal activity and that such a detention is reasonably necessary in the circumstances: </w:t>
      </w:r>
      <w:r w:rsidRPr="00BB3634">
        <w:rPr>
          <w:i/>
        </w:rPr>
        <w:t>R v Darteh, </w:t>
      </w:r>
      <w:hyperlink r:id="rId240" w:tgtFrame="_blank" w:history="1">
        <w:r w:rsidRPr="00BB3634">
          <w:rPr>
            <w:rStyle w:val="Hyperlink"/>
            <w:color w:val="auto"/>
          </w:rPr>
          <w:t>2016 ONCA 141</w:t>
        </w:r>
      </w:hyperlink>
      <w:r w:rsidRPr="00BB3634">
        <w:t> at para 4; </w:t>
      </w:r>
      <w:r w:rsidRPr="00BB3634">
        <w:rPr>
          <w:i/>
        </w:rPr>
        <w:t>R v McGuffie, </w:t>
      </w:r>
      <w:hyperlink r:id="rId241" w:tgtFrame="_blank" w:history="1">
        <w:r w:rsidRPr="00BB3634">
          <w:rPr>
            <w:rStyle w:val="Hyperlink"/>
            <w:color w:val="auto"/>
          </w:rPr>
          <w:t>2016 ONCA 365</w:t>
        </w:r>
      </w:hyperlink>
      <w:r w:rsidRPr="00BB3634">
        <w:t> at para 35</w:t>
      </w:r>
    </w:p>
    <w:p w14:paraId="038906D0" w14:textId="77777777" w:rsidR="00D743FB" w:rsidRPr="00BB3634" w:rsidRDefault="00D743FB" w:rsidP="000B18E5">
      <w:pPr>
        <w:pStyle w:val="NoSpacing"/>
      </w:pPr>
      <w:r w:rsidRPr="00BB3634">
        <w:t> </w:t>
      </w:r>
    </w:p>
    <w:p w14:paraId="3AD712A9" w14:textId="77777777" w:rsidR="00D743FB" w:rsidRPr="00BB3634" w:rsidRDefault="00D743FB" w:rsidP="000B18E5">
      <w:pPr>
        <w:pStyle w:val="NoSpacing"/>
      </w:pPr>
      <w:r w:rsidRPr="00BB3634">
        <w:t>The standard “reasonable grounds to suspect” requires that the police have a “reasonable suspicion” or a suspicion that is grounded in objectively discernible facts, which could then be subjected to independent judicial scrutiny: </w:t>
      </w:r>
      <w:r w:rsidRPr="00BB3634">
        <w:rPr>
          <w:i/>
        </w:rPr>
        <w:t>R v Darteh, </w:t>
      </w:r>
      <w:hyperlink r:id="rId242" w:tgtFrame="_blank" w:history="1">
        <w:r w:rsidRPr="00BB3634">
          <w:rPr>
            <w:rStyle w:val="Hyperlink"/>
            <w:color w:val="auto"/>
          </w:rPr>
          <w:t>2016 ONCA 141</w:t>
        </w:r>
      </w:hyperlink>
      <w:r w:rsidRPr="00BB3634">
        <w:t> at para 4</w:t>
      </w:r>
    </w:p>
    <w:p w14:paraId="67F3A09A" w14:textId="77777777" w:rsidR="00D743FB" w:rsidRPr="00BB3634" w:rsidRDefault="00D743FB" w:rsidP="000B18E5">
      <w:pPr>
        <w:pStyle w:val="NoSpacing"/>
      </w:pPr>
      <w:r w:rsidRPr="00BB3634">
        <w:t> </w:t>
      </w:r>
    </w:p>
    <w:p w14:paraId="08653187" w14:textId="77777777" w:rsidR="00D743FB" w:rsidRPr="00BB3634" w:rsidRDefault="00D743FB" w:rsidP="000B18E5">
      <w:pPr>
        <w:pStyle w:val="NoSpacing"/>
      </w:pPr>
      <w:r w:rsidRPr="00BB3634">
        <w:t>Reasonable suspicion may be grounded in a constellation of factors, even if any one of those factors on its own would not have been sufficient: </w:t>
      </w:r>
      <w:r w:rsidRPr="00BB3634">
        <w:rPr>
          <w:i/>
        </w:rPr>
        <w:t>R v Darteh, </w:t>
      </w:r>
      <w:r w:rsidRPr="00BB3634">
        <w:rPr>
          <w:u w:val="single"/>
        </w:rPr>
        <w:t>2016 ONCA 141</w:t>
      </w:r>
      <w:r w:rsidRPr="00BB3634">
        <w:t> at para 7</w:t>
      </w:r>
    </w:p>
    <w:p w14:paraId="2D29CC01" w14:textId="77777777" w:rsidR="00D743FB" w:rsidRPr="00BB3634" w:rsidRDefault="00D743FB" w:rsidP="000B18E5">
      <w:pPr>
        <w:pStyle w:val="NoSpacing"/>
      </w:pPr>
      <w:r w:rsidRPr="00BB3634">
        <w:t> </w:t>
      </w:r>
    </w:p>
    <w:p w14:paraId="3784128A" w14:textId="206BFA90" w:rsidR="00D743FB" w:rsidRPr="00BB3634" w:rsidRDefault="00D743FB" w:rsidP="000B18E5">
      <w:pPr>
        <w:pStyle w:val="NoSpacing"/>
      </w:pPr>
      <w:r w:rsidRPr="00BB3634">
        <w:t>A standard of reasonable suspicion addresses the possibility of uncovering criminality, not a probability of doing so as is the case for a reasonable belief: </w:t>
      </w:r>
      <w:r w:rsidRPr="00BB3634">
        <w:rPr>
          <w:i/>
        </w:rPr>
        <w:t>R v Nero, </w:t>
      </w:r>
      <w:hyperlink r:id="rId243" w:tgtFrame="_blank" w:history="1">
        <w:r w:rsidRPr="00BB3634">
          <w:rPr>
            <w:rStyle w:val="Hyperlink"/>
            <w:color w:val="auto"/>
          </w:rPr>
          <w:t>2016 ONCA 160</w:t>
        </w:r>
      </w:hyperlink>
      <w:r w:rsidRPr="00BB3634">
        <w:t> at para 73</w:t>
      </w:r>
    </w:p>
    <w:p w14:paraId="697822C7" w14:textId="40DB1C89" w:rsidR="00662185" w:rsidRPr="00BB3634" w:rsidRDefault="00662185" w:rsidP="000B18E5">
      <w:pPr>
        <w:pStyle w:val="NoSpacing"/>
      </w:pPr>
    </w:p>
    <w:p w14:paraId="1C7660A9" w14:textId="6B7DF116" w:rsidR="00662185" w:rsidRPr="00BB3634" w:rsidRDefault="00662185" w:rsidP="000B18E5">
      <w:pPr>
        <w:pStyle w:val="NoSpacing"/>
      </w:pPr>
      <w:r w:rsidRPr="00BB3634">
        <w:t>While reasonable grounds to suspect a crime has been committed may not exist where the sole factor informing the grounds is attendance at a drug house – where the information concerning the location is itself of unknown age and reliability – this does not mean that attendance at a drug house in other circumstances cannot furnish the grounds for an investigative detention. Indeed, there are times where, based upon the totality of circumstances, a person’s attendance at a drug house may even form sufficient grounds for arrest: </w:t>
      </w:r>
      <w:r w:rsidRPr="00BB3634">
        <w:rPr>
          <w:i/>
        </w:rPr>
        <w:t xml:space="preserve">R v Buchanan, </w:t>
      </w:r>
      <w:hyperlink r:id="rId244" w:history="1">
        <w:r w:rsidRPr="00BB3634">
          <w:rPr>
            <w:rStyle w:val="Hyperlink"/>
          </w:rPr>
          <w:t>2020 ONCA 245</w:t>
        </w:r>
      </w:hyperlink>
      <w:r w:rsidRPr="00BB3634">
        <w:t>, at para 32</w:t>
      </w:r>
    </w:p>
    <w:p w14:paraId="4E09F36B" w14:textId="070FCFC1" w:rsidR="00BB3634" w:rsidRDefault="00BB3634" w:rsidP="000B18E5">
      <w:pPr>
        <w:pStyle w:val="NoSpacing"/>
        <w:rPr>
          <w:rStyle w:val="wixguard"/>
        </w:rPr>
      </w:pPr>
    </w:p>
    <w:p w14:paraId="29A839F2" w14:textId="77777777" w:rsidR="00BB3634" w:rsidRPr="00BB3634" w:rsidRDefault="00BB3634" w:rsidP="000B18E5">
      <w:pPr>
        <w:pStyle w:val="NoSpacing"/>
        <w:rPr>
          <w:rStyle w:val="wixguard"/>
        </w:rPr>
      </w:pPr>
    </w:p>
    <w:p w14:paraId="4ED1534D" w14:textId="3F94B75B" w:rsidR="00EC6F02" w:rsidRPr="00BB3634" w:rsidRDefault="00EC6F02" w:rsidP="007A6720">
      <w:pPr>
        <w:pStyle w:val="Heading3"/>
        <w:numPr>
          <w:ilvl w:val="0"/>
          <w:numId w:val="49"/>
        </w:numPr>
      </w:pPr>
      <w:bookmarkStart w:id="95" w:name="_Toc94360176"/>
      <w:r w:rsidRPr="00BB3634">
        <w:t>Duration and Nature of Detention</w:t>
      </w:r>
      <w:bookmarkEnd w:id="95"/>
    </w:p>
    <w:p w14:paraId="6999DD72" w14:textId="77777777" w:rsidR="00EC6F02" w:rsidRPr="00BB3634" w:rsidRDefault="00EC6F02" w:rsidP="000B18E5">
      <w:pPr>
        <w:pStyle w:val="NoSpacing"/>
      </w:pPr>
    </w:p>
    <w:p w14:paraId="17F2953E" w14:textId="4B33D8D0" w:rsidR="00A767D2" w:rsidRPr="00BB3634" w:rsidRDefault="00783C76" w:rsidP="000B18E5">
      <w:pPr>
        <w:pStyle w:val="NoSpacing"/>
      </w:pPr>
      <w:r w:rsidRPr="00BB3634">
        <w:t xml:space="preserve">Detention requires more than </w:t>
      </w:r>
      <w:r w:rsidR="00A71E68" w:rsidRPr="00BB3634">
        <w:t>a fleeting interfer</w:t>
      </w:r>
      <w:r w:rsidRPr="00BB3634">
        <w:t xml:space="preserve">ence or delay but less than </w:t>
      </w:r>
      <w:r w:rsidR="00A71E68" w:rsidRPr="00BB3634">
        <w:t>where the police take explicit control over t</w:t>
      </w:r>
      <w:r w:rsidRPr="00BB3634">
        <w:t xml:space="preserve">he person and command obedience: </w:t>
      </w:r>
      <w:r w:rsidRPr="00BB3634">
        <w:rPr>
          <w:i/>
        </w:rPr>
        <w:t xml:space="preserve">R v Omar, </w:t>
      </w:r>
      <w:hyperlink r:id="rId245" w:history="1">
        <w:r w:rsidRPr="00BB3634">
          <w:rPr>
            <w:rStyle w:val="Hyperlink"/>
          </w:rPr>
          <w:t xml:space="preserve">2018 ONCA </w:t>
        </w:r>
        <w:r w:rsidR="007B2C57" w:rsidRPr="00BB3634">
          <w:rPr>
            <w:rStyle w:val="Hyperlink"/>
          </w:rPr>
          <w:t>975</w:t>
        </w:r>
      </w:hyperlink>
      <w:r w:rsidR="007B2C57" w:rsidRPr="00BB3634">
        <w:t>, at para 34</w:t>
      </w:r>
      <w:r w:rsidR="001F1734" w:rsidRPr="00BB3634">
        <w:t xml:space="preserve">; rev’d on other grounds at </w:t>
      </w:r>
      <w:hyperlink r:id="rId246" w:history="1">
        <w:r w:rsidR="001F1734" w:rsidRPr="00BB3634">
          <w:rPr>
            <w:rStyle w:val="Hyperlink"/>
          </w:rPr>
          <w:t>2019 SCC 32</w:t>
        </w:r>
      </w:hyperlink>
    </w:p>
    <w:p w14:paraId="50F7BEA0" w14:textId="77777777" w:rsidR="00A767D2" w:rsidRPr="00BB3634" w:rsidRDefault="00A767D2" w:rsidP="000B18E5">
      <w:pPr>
        <w:pStyle w:val="NoSpacing"/>
      </w:pPr>
    </w:p>
    <w:p w14:paraId="359FF39B" w14:textId="6BAE474F" w:rsidR="00EC6F02" w:rsidRPr="00BB3634" w:rsidRDefault="00EC6F02" w:rsidP="000B18E5">
      <w:pPr>
        <w:pStyle w:val="NoSpacing"/>
      </w:pPr>
      <w:r w:rsidRPr="00BB3634">
        <w:t>An investigative detention must be “brief in duration” and conducted in a reasonable manner</w:t>
      </w:r>
      <w:r w:rsidR="00A767D2" w:rsidRPr="00BB3634">
        <w:t>.</w:t>
      </w:r>
    </w:p>
    <w:p w14:paraId="4035170C" w14:textId="77777777" w:rsidR="00EC6F02" w:rsidRPr="00BB3634" w:rsidRDefault="00EC6F02" w:rsidP="000B18E5">
      <w:pPr>
        <w:pStyle w:val="NoSpacing"/>
      </w:pPr>
    </w:p>
    <w:p w14:paraId="295CA9C4" w14:textId="509237E4" w:rsidR="00EC6F02" w:rsidRPr="00BB3634" w:rsidRDefault="00EC6F02" w:rsidP="000B18E5">
      <w:pPr>
        <w:pStyle w:val="NoSpacing"/>
      </w:pPr>
      <w:r w:rsidRPr="00BB3634">
        <w:t>There is no bright line temporal rule in determining when an investigative detention becomes unjustifiably long. The word “brief” is descriptive and not quantitative.  It describes a range of time and not a precise time limit.  The range, however, has temporal limits and cannot expand indefinitely to accommodate any length of time required by the police to reasonably and expeditiously carry out a police investigation. This requirement of brevity applies even if the police treatment of the suspect is otherwise exemplary during the period of detention.</w:t>
      </w:r>
    </w:p>
    <w:p w14:paraId="42C812C7" w14:textId="77777777" w:rsidR="00EC6F02" w:rsidRPr="00BB3634" w:rsidRDefault="00EC6F02" w:rsidP="000B18E5">
      <w:pPr>
        <w:pStyle w:val="NoSpacing"/>
      </w:pPr>
    </w:p>
    <w:p w14:paraId="5AA619C8" w14:textId="77777777" w:rsidR="00EC6F02" w:rsidRPr="00BB3634" w:rsidRDefault="00EC6F02" w:rsidP="000B18E5">
      <w:pPr>
        <w:pStyle w:val="NoSpacing"/>
      </w:pPr>
      <w:r w:rsidRPr="00BB3634">
        <w:t xml:space="preserve">All investigative detentions must be “brief” because the state interference with the individual’s liberty rests on a reasonable suspicion of criminal activity, a much lower standard than the reasonable and probable grounds needed for an arrest.  </w:t>
      </w:r>
    </w:p>
    <w:p w14:paraId="108538D5" w14:textId="77777777" w:rsidR="00EC6F02" w:rsidRPr="00BB3634" w:rsidRDefault="00EC6F02" w:rsidP="000B18E5">
      <w:pPr>
        <w:pStyle w:val="NoSpacing"/>
      </w:pPr>
    </w:p>
    <w:p w14:paraId="49C6F8A7" w14:textId="1050410F" w:rsidR="00EC6F02" w:rsidRPr="00BB3634" w:rsidRDefault="00EC6F02" w:rsidP="000B18E5">
      <w:pPr>
        <w:pStyle w:val="NoSpacing"/>
      </w:pPr>
      <w:r w:rsidRPr="00BB3634">
        <w:t>The purpose of the brief detention contemplated under the investigative detention power is to allow the police to take investigative steps that are readily at hand to confirm their suspicion and arrest the suspect or, if the suspicion is not confirmed, release the suspect.  The police cannot use investigative detention as an excuse for holding suspects while the police search for evidence that might justify the arrest of the suspect.  Nor does investigative detention mean that the police can detain suspects indefinitely while they carry out their investigation:</w:t>
      </w:r>
      <w:r w:rsidR="00850C05" w:rsidRPr="00BB3634">
        <w:t xml:space="preserve"> </w:t>
      </w:r>
      <w:r w:rsidR="00850C05" w:rsidRPr="00BB3634">
        <w:rPr>
          <w:i/>
        </w:rPr>
        <w:t xml:space="preserve">R v </w:t>
      </w:r>
      <w:r w:rsidR="00850C05" w:rsidRPr="00BB3634">
        <w:rPr>
          <w:i/>
        </w:rPr>
        <w:lastRenderedPageBreak/>
        <w:t xml:space="preserve">Barclay, </w:t>
      </w:r>
      <w:hyperlink r:id="rId247" w:history="1">
        <w:r w:rsidR="00850C05" w:rsidRPr="00BB3634">
          <w:rPr>
            <w:rStyle w:val="Hyperlink"/>
          </w:rPr>
          <w:t>2018 ONCA 114</w:t>
        </w:r>
      </w:hyperlink>
      <w:r w:rsidR="00850C05" w:rsidRPr="00BB3634">
        <w:t xml:space="preserve"> at paras 21-32; </w:t>
      </w:r>
      <w:r w:rsidR="00850C05" w:rsidRPr="00BB3634">
        <w:rPr>
          <w:i/>
        </w:rPr>
        <w:t>R</w:t>
      </w:r>
      <w:r w:rsidRPr="00BB3634">
        <w:t> </w:t>
      </w:r>
      <w:r w:rsidRPr="00BB3634">
        <w:rPr>
          <w:i/>
        </w:rPr>
        <w:t>v McGuffie, </w:t>
      </w:r>
      <w:hyperlink r:id="rId248" w:tgtFrame="_blank" w:history="1">
        <w:r w:rsidRPr="00BB3634">
          <w:rPr>
            <w:rStyle w:val="Hyperlink"/>
            <w:color w:val="auto"/>
          </w:rPr>
          <w:t>2016 ONCA 365</w:t>
        </w:r>
      </w:hyperlink>
      <w:r w:rsidRPr="00BB3634">
        <w:t> at paras 38-39</w:t>
      </w:r>
    </w:p>
    <w:p w14:paraId="61E2035E" w14:textId="77777777" w:rsidR="00EC6F02" w:rsidRPr="00BB3634" w:rsidRDefault="00EC6F02" w:rsidP="000B18E5">
      <w:pPr>
        <w:pStyle w:val="NoSpacing"/>
      </w:pPr>
    </w:p>
    <w:p w14:paraId="0F96F1D5" w14:textId="77777777" w:rsidR="00EC6F02" w:rsidRPr="00BB3634" w:rsidRDefault="00EC6F02" w:rsidP="000B18E5">
      <w:pPr>
        <w:pStyle w:val="NoSpacing"/>
      </w:pPr>
      <w:r w:rsidRPr="00BB3634">
        <w:t>The permitted duration of an investigative detention is determined by considering whether the interference with the suspect’s liberty interest by his continuing detention was more intrusive than was reasonably necessary to perform the officer’s duty, having particular regard to the seriousness of the risk to public or individual safety.  In other words, the duration and nature of an investigative detention must be tailored to the investigative purpose of the detention and the circumstances in which the detention occurs.   </w:t>
      </w:r>
    </w:p>
    <w:p w14:paraId="1FFDFFF3" w14:textId="77777777" w:rsidR="00EC6F02" w:rsidRPr="00BB3634" w:rsidRDefault="00EC6F02" w:rsidP="000B18E5">
      <w:pPr>
        <w:pStyle w:val="NoSpacing"/>
      </w:pPr>
    </w:p>
    <w:p w14:paraId="468750C3" w14:textId="713DF44F" w:rsidR="00EC6F02" w:rsidRPr="00BB3634" w:rsidRDefault="00EC6F02" w:rsidP="000B18E5">
      <w:pPr>
        <w:pStyle w:val="NoSpacing"/>
      </w:pPr>
      <w:r w:rsidRPr="00BB3634">
        <w:t>The permitted duration of an investigative detention is case-specific. Some of the relevant factors include:</w:t>
      </w:r>
    </w:p>
    <w:p w14:paraId="50323376" w14:textId="2BA2FF69" w:rsidR="00EC6F02" w:rsidRPr="00BB3634" w:rsidRDefault="00EC6F02" w:rsidP="000B18E5">
      <w:pPr>
        <w:pStyle w:val="NoSpacing"/>
        <w:numPr>
          <w:ilvl w:val="0"/>
          <w:numId w:val="22"/>
        </w:numPr>
      </w:pPr>
      <w:r w:rsidRPr="00BB3634">
        <w:t xml:space="preserve">the intrusiveness of the detention. </w:t>
      </w:r>
    </w:p>
    <w:p w14:paraId="30ED21EA" w14:textId="272D3384" w:rsidR="00EC6F02" w:rsidRPr="00BB3634" w:rsidRDefault="00EC6F02" w:rsidP="000B18E5">
      <w:pPr>
        <w:pStyle w:val="NoSpacing"/>
        <w:numPr>
          <w:ilvl w:val="0"/>
          <w:numId w:val="22"/>
        </w:numPr>
      </w:pPr>
      <w:r w:rsidRPr="00BB3634">
        <w:t xml:space="preserve">the nature of the suspected criminal offence. </w:t>
      </w:r>
    </w:p>
    <w:p w14:paraId="143AE501" w14:textId="0C1E16AA" w:rsidR="00EC6F02" w:rsidRPr="00BB3634" w:rsidRDefault="00EC6F02" w:rsidP="000B18E5">
      <w:pPr>
        <w:pStyle w:val="NoSpacing"/>
        <w:numPr>
          <w:ilvl w:val="0"/>
          <w:numId w:val="22"/>
        </w:numPr>
      </w:pPr>
      <w:r w:rsidRPr="00BB3634">
        <w:t xml:space="preserve">the complexity of the investigation. </w:t>
      </w:r>
    </w:p>
    <w:p w14:paraId="3270066B" w14:textId="795824B6" w:rsidR="00EC6F02" w:rsidRPr="00BB3634" w:rsidRDefault="00EC6F02" w:rsidP="000B18E5">
      <w:pPr>
        <w:pStyle w:val="NoSpacing"/>
        <w:numPr>
          <w:ilvl w:val="0"/>
          <w:numId w:val="22"/>
        </w:numPr>
      </w:pPr>
      <w:r w:rsidRPr="00BB3634">
        <w:t xml:space="preserve">any immediate public or individual safety concerns. </w:t>
      </w:r>
    </w:p>
    <w:p w14:paraId="0EB31369" w14:textId="458559B8" w:rsidR="00EC6F02" w:rsidRPr="00BB3634" w:rsidRDefault="00EC6F02" w:rsidP="000B18E5">
      <w:pPr>
        <w:pStyle w:val="NoSpacing"/>
        <w:numPr>
          <w:ilvl w:val="0"/>
          <w:numId w:val="22"/>
        </w:numPr>
      </w:pPr>
      <w:r w:rsidRPr="00BB3634">
        <w:t xml:space="preserve">the ability of the police to effectively carry out the investigation without continuing the detention of the suspect. </w:t>
      </w:r>
    </w:p>
    <w:p w14:paraId="328D88E6" w14:textId="77777777" w:rsidR="00850C05" w:rsidRPr="00BB3634" w:rsidRDefault="00EC6F02" w:rsidP="000B18E5">
      <w:pPr>
        <w:pStyle w:val="NoSpacing"/>
        <w:numPr>
          <w:ilvl w:val="0"/>
          <w:numId w:val="22"/>
        </w:numPr>
      </w:pPr>
      <w:r w:rsidRPr="00BB3634">
        <w:t xml:space="preserve">the lack of police diligence. </w:t>
      </w:r>
    </w:p>
    <w:p w14:paraId="43FBBAA0" w14:textId="6D5D1866" w:rsidR="00D743FB" w:rsidRDefault="00EC6F02" w:rsidP="000B18E5">
      <w:pPr>
        <w:pStyle w:val="NoSpacing"/>
        <w:numPr>
          <w:ilvl w:val="0"/>
          <w:numId w:val="22"/>
        </w:numPr>
      </w:pPr>
      <w:r w:rsidRPr="00BB3634">
        <w:t>the lack of immediate availability of th</w:t>
      </w:r>
      <w:r w:rsidR="00850C05" w:rsidRPr="00BB3634">
        <w:t xml:space="preserve">e required investigative tools: </w:t>
      </w:r>
      <w:r w:rsidR="00850C05" w:rsidRPr="00BB3634">
        <w:rPr>
          <w:i/>
        </w:rPr>
        <w:t xml:space="preserve">R v Barclay, </w:t>
      </w:r>
      <w:hyperlink r:id="rId249" w:history="1">
        <w:r w:rsidR="00850C05" w:rsidRPr="00BB3634">
          <w:rPr>
            <w:rStyle w:val="Hyperlink"/>
          </w:rPr>
          <w:t>2018 ONCA 114</w:t>
        </w:r>
      </w:hyperlink>
      <w:r w:rsidR="00850C05" w:rsidRPr="00BB3634">
        <w:t xml:space="preserve"> at paras 21-32</w:t>
      </w:r>
    </w:p>
    <w:p w14:paraId="277DFA71" w14:textId="77777777" w:rsidR="00BB3634" w:rsidRPr="00BB3634" w:rsidRDefault="00BB3634" w:rsidP="000B18E5">
      <w:pPr>
        <w:pStyle w:val="NoSpacing"/>
      </w:pPr>
    </w:p>
    <w:p w14:paraId="2B336A16" w14:textId="25D2D732" w:rsidR="00D743FB" w:rsidRPr="00BB3634" w:rsidRDefault="00D743FB" w:rsidP="00BB3634">
      <w:pPr>
        <w:pStyle w:val="Heading2"/>
        <w:spacing w:line="276" w:lineRule="auto"/>
        <w:rPr>
          <w:rFonts w:cs="Arial"/>
        </w:rPr>
      </w:pPr>
      <w:bookmarkStart w:id="96" w:name="_Toc94360177"/>
      <w:r w:rsidRPr="00BB3634">
        <w:rPr>
          <w:rFonts w:cs="Arial"/>
        </w:rPr>
        <w:t>Detention versus Arrest</w:t>
      </w:r>
      <w:bookmarkEnd w:id="96"/>
    </w:p>
    <w:p w14:paraId="6E799F49" w14:textId="77777777" w:rsidR="00D743FB" w:rsidRPr="00BB3634" w:rsidRDefault="00D743FB" w:rsidP="000B18E5">
      <w:pPr>
        <w:pStyle w:val="NoSpacing"/>
      </w:pPr>
      <w:r w:rsidRPr="00BB3634">
        <w:rPr>
          <w:rStyle w:val="wixguard"/>
        </w:rPr>
        <w:t>​</w:t>
      </w:r>
    </w:p>
    <w:p w14:paraId="4AE0B6CB" w14:textId="77777777" w:rsidR="00D743FB" w:rsidRPr="00BB3634" w:rsidRDefault="00D743FB" w:rsidP="000B18E5">
      <w:pPr>
        <w:pStyle w:val="NoSpacing"/>
      </w:pPr>
      <w:r w:rsidRPr="00BB3634">
        <w:t>"[A]n investigative detention is not the same thing as an arrest and could not be allowed to become “a de facto arrest”.  The significant interference with individual liberty occasioned by an arrest is justified because the police have reasonable and probable grounds to believe that the arrested person has committed an offence.  Investigative detention does not require the same strong connection between the detained individual and the offence being investigated.  The detention contemplated by an investigative detention cannot interfere with individual liberty to the extent contemplated by a full arrest," </w:t>
      </w:r>
      <w:r w:rsidRPr="00BB3634">
        <w:rPr>
          <w:i/>
        </w:rPr>
        <w:t>R v McGuffie, </w:t>
      </w:r>
      <w:hyperlink r:id="rId250" w:tgtFrame="_blank" w:history="1">
        <w:r w:rsidRPr="00BB3634">
          <w:rPr>
            <w:rStyle w:val="Hyperlink"/>
            <w:color w:val="auto"/>
          </w:rPr>
          <w:t>2016 ONCA 365</w:t>
        </w:r>
      </w:hyperlink>
      <w:r w:rsidRPr="00BB3634">
        <w:t> at para 37</w:t>
      </w:r>
    </w:p>
    <w:p w14:paraId="623F33A5" w14:textId="449487CF" w:rsidR="00D743FB" w:rsidRDefault="00D743FB" w:rsidP="000B18E5">
      <w:pPr>
        <w:pStyle w:val="NoSpacing"/>
        <w:rPr>
          <w:rStyle w:val="wixguard"/>
        </w:rPr>
      </w:pPr>
      <w:r w:rsidRPr="00BB3634">
        <w:rPr>
          <w:rStyle w:val="wixguard"/>
        </w:rPr>
        <w:t>​</w:t>
      </w:r>
    </w:p>
    <w:p w14:paraId="112ADA88" w14:textId="77777777" w:rsidR="00C57050" w:rsidRPr="00BB3634" w:rsidRDefault="00C57050" w:rsidP="000B18E5">
      <w:pPr>
        <w:pStyle w:val="NoSpacing"/>
        <w:rPr>
          <w:rStyle w:val="wixguard"/>
        </w:rPr>
      </w:pPr>
    </w:p>
    <w:p w14:paraId="268A54E0" w14:textId="37CAB867" w:rsidR="0087014C" w:rsidRPr="00BB3634" w:rsidRDefault="00D23AF9" w:rsidP="00FF4E15">
      <w:pPr>
        <w:pStyle w:val="Heading2"/>
        <w:numPr>
          <w:ilvl w:val="0"/>
          <w:numId w:val="37"/>
        </w:numPr>
        <w:spacing w:line="276" w:lineRule="auto"/>
        <w:rPr>
          <w:rFonts w:cs="Arial"/>
        </w:rPr>
      </w:pPr>
      <w:bookmarkStart w:id="97" w:name="_Toc94360178"/>
      <w:r w:rsidRPr="00BB3634">
        <w:rPr>
          <w:rFonts w:cs="Arial"/>
        </w:rPr>
        <w:lastRenderedPageBreak/>
        <w:t>P</w:t>
      </w:r>
      <w:r w:rsidR="0087014C" w:rsidRPr="00BB3634">
        <w:rPr>
          <w:rFonts w:cs="Arial"/>
        </w:rPr>
        <w:t xml:space="preserve">sychological </w:t>
      </w:r>
      <w:r w:rsidRPr="00BB3634">
        <w:rPr>
          <w:rFonts w:cs="Arial"/>
        </w:rPr>
        <w:t>D</w:t>
      </w:r>
      <w:r w:rsidR="0087014C" w:rsidRPr="00BB3634">
        <w:rPr>
          <w:rFonts w:cs="Arial"/>
        </w:rPr>
        <w:t>etention</w:t>
      </w:r>
      <w:bookmarkEnd w:id="97"/>
    </w:p>
    <w:p w14:paraId="3BF056D7" w14:textId="77777777" w:rsidR="007E6AD7" w:rsidRPr="00BB3634" w:rsidRDefault="007E6AD7" w:rsidP="000B18E5">
      <w:pPr>
        <w:pStyle w:val="NoSpacing"/>
      </w:pPr>
    </w:p>
    <w:p w14:paraId="60BE84BA" w14:textId="476FF619" w:rsidR="0087014C" w:rsidRPr="00BB3634" w:rsidRDefault="0087014C" w:rsidP="000B18E5">
      <w:pPr>
        <w:pStyle w:val="NoSpacing"/>
      </w:pPr>
      <w:r w:rsidRPr="00BB3634">
        <w:t>Psychological detention is established either where the individual has a legal obligation to comply with the restrictive request or demand, or a reasonable person would conclude by reason of the state conduct that he or she had no choice but to comply.</w:t>
      </w:r>
    </w:p>
    <w:p w14:paraId="32FF6E5E" w14:textId="77777777" w:rsidR="0087014C" w:rsidRPr="00BB3634" w:rsidRDefault="0087014C" w:rsidP="000B18E5">
      <w:pPr>
        <w:pStyle w:val="NoSpacing"/>
      </w:pPr>
    </w:p>
    <w:p w14:paraId="07F6CFCE" w14:textId="2D4108E8" w:rsidR="0087014C" w:rsidRPr="00BB3634" w:rsidRDefault="0087014C" w:rsidP="000B18E5">
      <w:pPr>
        <w:pStyle w:val="NoSpacing"/>
      </w:pPr>
      <w:r w:rsidRPr="00BB3634">
        <w:t>In cases where there is no physical restraint or legal obligation, it may not be clear whether a person has been detained.  To determine whether the reasonable person in the individual’s circumstances would conclude that he or she had been deprived by the state of the liberty of choice, the court may consider the following factors:</w:t>
      </w:r>
    </w:p>
    <w:p w14:paraId="2AADA3A9" w14:textId="77777777" w:rsidR="00255CC6" w:rsidRPr="00BB3634" w:rsidRDefault="00255CC6" w:rsidP="000B18E5">
      <w:pPr>
        <w:pStyle w:val="NoSpacing"/>
      </w:pPr>
    </w:p>
    <w:p w14:paraId="228ECB75" w14:textId="25699EE0" w:rsidR="0087014C" w:rsidRPr="00BB3634" w:rsidRDefault="0087014C" w:rsidP="000B18E5">
      <w:pPr>
        <w:pStyle w:val="NoSpacing"/>
        <w:numPr>
          <w:ilvl w:val="0"/>
          <w:numId w:val="30"/>
        </w:numPr>
      </w:pPr>
      <w:r w:rsidRPr="00BB3634">
        <w:t>The circumstances giving rise to the encounter as would reasonably be perceived by the individual: whether the police</w:t>
      </w:r>
      <w:r w:rsidRPr="00BB3634">
        <w:rPr>
          <w:spacing w:val="-24"/>
        </w:rPr>
        <w:t> </w:t>
      </w:r>
      <w:r w:rsidRPr="00BB3634">
        <w:t>were providing general assistance; maintaining general order; making general inquiries regarding a particular occurrence; or singling out the individual for focused investigation.</w:t>
      </w:r>
    </w:p>
    <w:p w14:paraId="0C39EDEF" w14:textId="77777777" w:rsidR="0087014C" w:rsidRPr="00BB3634" w:rsidRDefault="0087014C" w:rsidP="000B18E5">
      <w:pPr>
        <w:pStyle w:val="NoSpacing"/>
      </w:pPr>
    </w:p>
    <w:p w14:paraId="5B201521" w14:textId="3A143D47" w:rsidR="0087014C" w:rsidRPr="00BB3634" w:rsidRDefault="0087014C" w:rsidP="000B18E5">
      <w:pPr>
        <w:pStyle w:val="NoSpacing"/>
        <w:numPr>
          <w:ilvl w:val="0"/>
          <w:numId w:val="30"/>
        </w:numPr>
      </w:pPr>
      <w:r w:rsidRPr="00BB3634">
        <w:t>The nature of the police conduct, including: the language used; the use of physical contact; the place where the interaction occurred; the presence of others; and the duration of the encounter.</w:t>
      </w:r>
    </w:p>
    <w:p w14:paraId="56B9750A" w14:textId="77777777" w:rsidR="0087014C" w:rsidRPr="00BB3634" w:rsidRDefault="0087014C" w:rsidP="000B18E5">
      <w:pPr>
        <w:pStyle w:val="NoSpacing"/>
      </w:pPr>
    </w:p>
    <w:p w14:paraId="78D773B8" w14:textId="247AC43F" w:rsidR="0087014C" w:rsidRPr="00BB3634" w:rsidRDefault="0087014C" w:rsidP="000B18E5">
      <w:pPr>
        <w:pStyle w:val="NoSpacing"/>
        <w:numPr>
          <w:ilvl w:val="0"/>
          <w:numId w:val="30"/>
        </w:numPr>
      </w:pPr>
      <w:r w:rsidRPr="00BB3634">
        <w:t>The particular characteristics or circumstances of the individual where relevant, including: age; physical stature; minority status; and level of sophistication</w:t>
      </w:r>
    </w:p>
    <w:p w14:paraId="66FA77CC" w14:textId="77777777" w:rsidR="0087014C" w:rsidRPr="00BB3634" w:rsidRDefault="0087014C" w:rsidP="00BB3634">
      <w:pPr>
        <w:spacing w:line="276" w:lineRule="auto"/>
        <w:rPr>
          <w:rFonts w:ascii="Arial" w:hAnsi="Arial" w:cs="Arial"/>
        </w:rPr>
      </w:pPr>
    </w:p>
    <w:p w14:paraId="12E59F0C" w14:textId="70CACDFE" w:rsidR="00150852" w:rsidRPr="00BB3634" w:rsidRDefault="0037712E" w:rsidP="000B18E5">
      <w:pPr>
        <w:pStyle w:val="NoSpacing"/>
      </w:pPr>
      <w:r w:rsidRPr="00BB3634">
        <w:t xml:space="preserve">The central question is whether the police conduct would cause a reasonable person to conclude that he or she was not free to go and had to comply with the police direction or demand.  </w:t>
      </w:r>
      <w:r w:rsidR="00150852" w:rsidRPr="00BB3634">
        <w:t>The basis of psychological detention, absent a legal requirement to comply, remains that of a demand by the police officer coupled with a reasonable belief that there is no option but to comply with that demand.</w:t>
      </w:r>
    </w:p>
    <w:p w14:paraId="1F829CEC" w14:textId="77777777" w:rsidR="00150852" w:rsidRPr="00BB3634" w:rsidRDefault="00150852" w:rsidP="000B18E5">
      <w:pPr>
        <w:pStyle w:val="NoSpacing"/>
      </w:pPr>
    </w:p>
    <w:p w14:paraId="4953D482" w14:textId="3AA3FF12" w:rsidR="0037712E" w:rsidRPr="00BB3634" w:rsidRDefault="0037712E" w:rsidP="000B18E5">
      <w:pPr>
        <w:pStyle w:val="NoSpacing"/>
      </w:pPr>
      <w:r w:rsidRPr="00BB3634">
        <w:t xml:space="preserve">The test for psychological detention must be determined objectively, having regard to all the circumstances of the particular situation.  The focus is on the state conduct in the context of the surrounding legal and factual situation, and how that conduct would be perceived by a reasonable person in the situation as it develops.  The objective nature of the inquiry recognizes that the police must be able to know when a detention occurs, in order to allow them to fulfill their </w:t>
      </w:r>
      <w:r w:rsidRPr="00BB3634">
        <w:lastRenderedPageBreak/>
        <w:t>attendant obligations under the </w:t>
      </w:r>
      <w:r w:rsidRPr="00BB3634">
        <w:rPr>
          <w:i/>
        </w:rPr>
        <w:t>Charter</w:t>
      </w:r>
      <w:r w:rsidRPr="00BB3634">
        <w:t xml:space="preserve"> and afford the individual its added protections. </w:t>
      </w:r>
    </w:p>
    <w:p w14:paraId="639C8009" w14:textId="77777777" w:rsidR="0037712E" w:rsidRPr="00BB3634" w:rsidRDefault="0037712E" w:rsidP="000B18E5">
      <w:pPr>
        <w:pStyle w:val="NoSpacing"/>
      </w:pPr>
    </w:p>
    <w:p w14:paraId="1152A407" w14:textId="4CCE1329" w:rsidR="0037712E" w:rsidRPr="00BB3634" w:rsidRDefault="0037712E" w:rsidP="000B18E5">
      <w:pPr>
        <w:pStyle w:val="NoSpacing"/>
      </w:pPr>
      <w:r w:rsidRPr="00BB3634">
        <w:t> The views of the arresting officers may be significant in determining whether a psychological detention has occurred.  However, those subjective in</w:t>
      </w:r>
      <w:r w:rsidR="00C974DF" w:rsidRPr="00BB3634">
        <w:t>tentions are not determinative</w:t>
      </w:r>
      <w:r w:rsidRPr="00BB3634">
        <w:t>.  Similarly, while the test is objective, the individual’s specific circumstances must be taken into account, as will his or her personal circumstances, including age, physical stature, and minority status, and level of sophistication.  The individual’s perception a</w:t>
      </w:r>
      <w:r w:rsidR="00150852" w:rsidRPr="00BB3634">
        <w:t xml:space="preserve">t the time may also be relevant: </w:t>
      </w:r>
      <w:r w:rsidRPr="00BB3634">
        <w:rPr>
          <w:i/>
        </w:rPr>
        <w:t xml:space="preserve">R v NB, </w:t>
      </w:r>
      <w:hyperlink r:id="rId251" w:history="1">
        <w:r w:rsidRPr="00BB3634">
          <w:rPr>
            <w:rStyle w:val="Hyperlink"/>
          </w:rPr>
          <w:t>2018 ONCA 556</w:t>
        </w:r>
      </w:hyperlink>
      <w:r w:rsidRPr="00BB3634">
        <w:t xml:space="preserve"> at para 112 </w:t>
      </w:r>
      <w:r w:rsidR="00150852" w:rsidRPr="00BB3634">
        <w:t>–</w:t>
      </w:r>
      <w:r w:rsidRPr="00BB3634">
        <w:t xml:space="preserve"> 117</w:t>
      </w:r>
      <w:r w:rsidR="00150852" w:rsidRPr="00BB3634">
        <w:t>, 119</w:t>
      </w:r>
      <w:r w:rsidRPr="00BB3634">
        <w:t xml:space="preserve"> (citing </w:t>
      </w:r>
      <w:r w:rsidRPr="00BB3634">
        <w:rPr>
          <w:i/>
        </w:rPr>
        <w:t>Grant</w:t>
      </w:r>
      <w:r w:rsidRPr="00BB3634">
        <w:t>)</w:t>
      </w:r>
      <w:r w:rsidR="00C974DF" w:rsidRPr="00BB3634">
        <w:t xml:space="preserve">; </w:t>
      </w:r>
      <w:r w:rsidR="00C974DF" w:rsidRPr="00BB3634">
        <w:rPr>
          <w:i/>
        </w:rPr>
        <w:t xml:space="preserve">R v Omar, </w:t>
      </w:r>
      <w:hyperlink r:id="rId252" w:history="1">
        <w:r w:rsidR="00C974DF" w:rsidRPr="00BB3634">
          <w:rPr>
            <w:rStyle w:val="Hyperlink"/>
          </w:rPr>
          <w:t>2018 ONCA 975</w:t>
        </w:r>
      </w:hyperlink>
      <w:r w:rsidR="00C974DF" w:rsidRPr="00BB3634">
        <w:t>, at para</w:t>
      </w:r>
      <w:r w:rsidR="00A63F91" w:rsidRPr="00BB3634">
        <w:t xml:space="preserve"> 42</w:t>
      </w:r>
      <w:r w:rsidR="001F1734" w:rsidRPr="00BB3634">
        <w:t xml:space="preserve">; rev’d on other grounds at </w:t>
      </w:r>
      <w:hyperlink r:id="rId253" w:history="1">
        <w:r w:rsidR="001F1734" w:rsidRPr="00BB3634">
          <w:rPr>
            <w:rStyle w:val="Hyperlink"/>
          </w:rPr>
          <w:t>2019 SCC 32</w:t>
        </w:r>
      </w:hyperlink>
    </w:p>
    <w:p w14:paraId="12589804" w14:textId="77777777" w:rsidR="00BA37F6" w:rsidRPr="00BB3634" w:rsidRDefault="00BA37F6" w:rsidP="000B18E5">
      <w:pPr>
        <w:pStyle w:val="NoSpacing"/>
      </w:pPr>
    </w:p>
    <w:p w14:paraId="6BCC8214" w14:textId="0B966037" w:rsidR="00BA37F6" w:rsidRPr="00BB3634" w:rsidRDefault="00BA37F6" w:rsidP="000B18E5">
      <w:pPr>
        <w:pStyle w:val="NoSpacing"/>
      </w:pPr>
      <w:r w:rsidRPr="00BB3634">
        <w:t xml:space="preserve">The police are entitled to question anyone in the course of investigating an offence or determining whether an offence has been committed, but they have no power to compel answers.  Police questioning, even at a police station, does not necessarily result in a detention where the accused attended voluntarily as a result of a request and there was no evidence that he or she felt deprived of his liberty: </w:t>
      </w:r>
      <w:r w:rsidRPr="00BB3634">
        <w:rPr>
          <w:i/>
        </w:rPr>
        <w:t xml:space="preserve">NB </w:t>
      </w:r>
      <w:r w:rsidRPr="00BB3634">
        <w:t xml:space="preserve">at para 119 </w:t>
      </w:r>
    </w:p>
    <w:p w14:paraId="22F5DF3F" w14:textId="4D822F61" w:rsidR="00473351" w:rsidRPr="00BB3634" w:rsidRDefault="00473351" w:rsidP="000B18E5">
      <w:pPr>
        <w:pStyle w:val="NoSpacing"/>
      </w:pPr>
    </w:p>
    <w:p w14:paraId="52D061CE" w14:textId="60A6D450" w:rsidR="00473351" w:rsidRPr="00BB3634" w:rsidRDefault="00473351" w:rsidP="000B18E5">
      <w:pPr>
        <w:pStyle w:val="NoSpacing"/>
      </w:pPr>
      <w:r w:rsidRPr="00BB3634">
        <w:t xml:space="preserve">The “minority status” of an individual is a relevant consideration in the mix of factors informing what a reasonable person in the individual’s circumstances would have concluded: </w:t>
      </w:r>
      <w:r w:rsidRPr="00BB3634">
        <w:rPr>
          <w:i/>
        </w:rPr>
        <w:t xml:space="preserve">R v Reid, </w:t>
      </w:r>
      <w:hyperlink r:id="rId254" w:history="1">
        <w:r w:rsidRPr="00BB3634">
          <w:rPr>
            <w:rStyle w:val="Hyperlink"/>
          </w:rPr>
          <w:t>2019 ONCA 32</w:t>
        </w:r>
      </w:hyperlink>
      <w:r w:rsidRPr="00BB3634">
        <w:t>, at para 28</w:t>
      </w:r>
      <w:r w:rsidR="002F5349" w:rsidRPr="00BB3634">
        <w:t xml:space="preserve">; </w:t>
      </w:r>
      <w:r w:rsidR="002F5349" w:rsidRPr="00BB3634">
        <w:rPr>
          <w:i/>
        </w:rPr>
        <w:t xml:space="preserve">R v Le, </w:t>
      </w:r>
      <w:hyperlink r:id="rId255" w:history="1">
        <w:r w:rsidR="002F5349" w:rsidRPr="00BB3634">
          <w:rPr>
            <w:rStyle w:val="Hyperlink"/>
          </w:rPr>
          <w:t>2019 SCC 34</w:t>
        </w:r>
      </w:hyperlink>
      <w:r w:rsidR="002F5349" w:rsidRPr="00BB3634">
        <w:t>, at paras 82-83</w:t>
      </w:r>
    </w:p>
    <w:p w14:paraId="7B2BFC04" w14:textId="6170286D" w:rsidR="002F5349" w:rsidRPr="00BB3634" w:rsidRDefault="002F5349" w:rsidP="000B18E5">
      <w:pPr>
        <w:pStyle w:val="NoSpacing"/>
      </w:pPr>
    </w:p>
    <w:p w14:paraId="6C29CA97" w14:textId="6814D156" w:rsidR="002F5349" w:rsidRPr="0096506F" w:rsidRDefault="002F5349" w:rsidP="000B18E5">
      <w:pPr>
        <w:pStyle w:val="NoSpacing"/>
      </w:pPr>
      <w:r w:rsidRPr="00BB3634">
        <w:t xml:space="preserve">The focus of the s. 9 analysis should not be on what was in the accused’s mind at a particular moment in time, but rather on how the police behaved and, considering the totality of the circumstances, how such behavior would be reasonably perceived: </w:t>
      </w:r>
      <w:r w:rsidRPr="00BB3634">
        <w:rPr>
          <w:i/>
        </w:rPr>
        <w:t xml:space="preserve">R v Le, </w:t>
      </w:r>
      <w:hyperlink r:id="rId256" w:history="1">
        <w:r w:rsidRPr="00BB3634">
          <w:rPr>
            <w:rStyle w:val="Hyperlink"/>
          </w:rPr>
          <w:t>2019 SCC 34</w:t>
        </w:r>
      </w:hyperlink>
      <w:r w:rsidRPr="00BB3634">
        <w:t>, at paras 113-117</w:t>
      </w:r>
      <w:r w:rsidR="00662185" w:rsidRPr="00BB3634">
        <w:t xml:space="preserve">; </w:t>
      </w:r>
      <w:r w:rsidR="00662185" w:rsidRPr="00BB3634">
        <w:rPr>
          <w:i/>
        </w:rPr>
        <w:t xml:space="preserve">R v Thompson, </w:t>
      </w:r>
      <w:hyperlink r:id="rId257" w:history="1">
        <w:r w:rsidR="00662185" w:rsidRPr="00BB3634">
          <w:rPr>
            <w:rStyle w:val="Hyperlink"/>
          </w:rPr>
          <w:t>2020 ONCA 264</w:t>
        </w:r>
      </w:hyperlink>
      <w:r w:rsidR="00662185" w:rsidRPr="00BB3634">
        <w:t>, at paras 41-51</w:t>
      </w:r>
      <w:r w:rsidR="0096506F">
        <w:t xml:space="preserve">; </w:t>
      </w:r>
      <w:r w:rsidR="0096506F">
        <w:rPr>
          <w:i/>
          <w:iCs w:val="0"/>
        </w:rPr>
        <w:t xml:space="preserve">R v Tutu, </w:t>
      </w:r>
      <w:hyperlink r:id="rId258" w:history="1">
        <w:r w:rsidR="0096506F" w:rsidRPr="0096506F">
          <w:rPr>
            <w:rStyle w:val="Hyperlink"/>
          </w:rPr>
          <w:t>2021 ONCA 805</w:t>
        </w:r>
      </w:hyperlink>
      <w:r w:rsidR="0096506F">
        <w:t>, at paras 19-21</w:t>
      </w:r>
    </w:p>
    <w:p w14:paraId="5300509D" w14:textId="77777777" w:rsidR="0037712E" w:rsidRPr="00BB3634" w:rsidRDefault="0037712E" w:rsidP="00BB3634">
      <w:pPr>
        <w:spacing w:line="276" w:lineRule="auto"/>
        <w:rPr>
          <w:rFonts w:ascii="Arial" w:hAnsi="Arial" w:cs="Arial"/>
        </w:rPr>
      </w:pPr>
    </w:p>
    <w:p w14:paraId="4C685411" w14:textId="66CEC31C" w:rsidR="007231A3" w:rsidRPr="00BB3634" w:rsidRDefault="007231A3" w:rsidP="00FF4E15">
      <w:pPr>
        <w:pStyle w:val="Heading2"/>
        <w:numPr>
          <w:ilvl w:val="0"/>
          <w:numId w:val="37"/>
        </w:numPr>
        <w:spacing w:line="276" w:lineRule="auto"/>
        <w:rPr>
          <w:rFonts w:cs="Arial"/>
        </w:rPr>
      </w:pPr>
      <w:bookmarkStart w:id="98" w:name="_Toc94360179"/>
      <w:r w:rsidRPr="00BB3634">
        <w:rPr>
          <w:rFonts w:cs="Arial"/>
        </w:rPr>
        <w:t>The Smell of Marijuana as Grounds</w:t>
      </w:r>
      <w:bookmarkEnd w:id="98"/>
    </w:p>
    <w:p w14:paraId="17E8F33D" w14:textId="77777777" w:rsidR="007231A3" w:rsidRPr="00BB3634" w:rsidRDefault="007231A3" w:rsidP="000B18E5">
      <w:pPr>
        <w:pStyle w:val="NoSpacing"/>
      </w:pPr>
      <w:r w:rsidRPr="00BB3634">
        <w:rPr>
          <w:rStyle w:val="wixguard"/>
          <w:i/>
          <w:iCs w:val="0"/>
        </w:rPr>
        <w:t>​</w:t>
      </w:r>
      <w:r w:rsidRPr="00BB3634">
        <w:t>  </w:t>
      </w:r>
    </w:p>
    <w:p w14:paraId="5EC81C9C" w14:textId="77777777" w:rsidR="007231A3" w:rsidRPr="00BB3634" w:rsidRDefault="007231A3" w:rsidP="000B18E5">
      <w:pPr>
        <w:pStyle w:val="NoSpacing"/>
      </w:pPr>
      <w:r w:rsidRPr="00BB3634">
        <w:t xml:space="preserve">No bright line rule prohibits the presence of the smell of marijuana as the source of reasonable grounds for an arrest. However, what is dispositive are the circumstances under which the olfactory observation was made. Sometimes, police officers can convince a trial judge that their training and experience is sufficient to yield a reliable opinion of present possession. It is for the trial judge </w:t>
      </w:r>
      <w:r w:rsidRPr="00BB3634">
        <w:lastRenderedPageBreak/>
        <w:t>to determine the value and effect of the evidence: </w:t>
      </w:r>
      <w:r w:rsidRPr="00BB3634">
        <w:rPr>
          <w:i/>
        </w:rPr>
        <w:t xml:space="preserve">R v Gonzales, </w:t>
      </w:r>
      <w:hyperlink r:id="rId259" w:history="1">
        <w:r w:rsidRPr="00BB3634">
          <w:rPr>
            <w:rStyle w:val="Hyperlink"/>
          </w:rPr>
          <w:t>2017 ONCA 543</w:t>
        </w:r>
      </w:hyperlink>
      <w:r w:rsidRPr="00BB3634">
        <w:t xml:space="preserve"> at para 97</w:t>
      </w:r>
    </w:p>
    <w:p w14:paraId="3DFE8861" w14:textId="77777777" w:rsidR="007231A3" w:rsidRPr="00BB3634" w:rsidRDefault="007231A3" w:rsidP="000B18E5">
      <w:pPr>
        <w:pStyle w:val="NoSpacing"/>
      </w:pPr>
    </w:p>
    <w:p w14:paraId="68C2C6CE" w14:textId="638DBED7" w:rsidR="007231A3" w:rsidRPr="00BB3634" w:rsidRDefault="007231A3" w:rsidP="000B18E5">
      <w:pPr>
        <w:pStyle w:val="NoSpacing"/>
      </w:pPr>
      <w:r w:rsidRPr="00BB3634">
        <w:t xml:space="preserve">The sense of smell is highly subjective. Where the police are advised by a confidential informant that s/he smelled marijuana coming from property associated to the suspect, this does not give rise to grounds to arrest, especially where there is no indication that the CI has special or even reliable olfactory powers or training or experience in detecting the odour of marijuana. It does, however, give the police grounds to detain: </w:t>
      </w:r>
      <w:r w:rsidRPr="00BB3634">
        <w:rPr>
          <w:i/>
        </w:rPr>
        <w:t xml:space="preserve">R v Barclay, </w:t>
      </w:r>
      <w:hyperlink r:id="rId260" w:history="1">
        <w:r w:rsidRPr="00BB3634">
          <w:rPr>
            <w:rStyle w:val="Hyperlink"/>
          </w:rPr>
          <w:t>2018 ONCA 114</w:t>
        </w:r>
      </w:hyperlink>
      <w:r w:rsidRPr="00BB3634">
        <w:t xml:space="preserve"> at para 36</w:t>
      </w:r>
    </w:p>
    <w:p w14:paraId="025F2100" w14:textId="77777777" w:rsidR="005956AC" w:rsidRPr="00BB3634" w:rsidRDefault="005956AC" w:rsidP="00BB3634">
      <w:pPr>
        <w:spacing w:line="276" w:lineRule="auto"/>
        <w:rPr>
          <w:rFonts w:ascii="Arial" w:hAnsi="Arial" w:cs="Arial"/>
        </w:rPr>
      </w:pPr>
    </w:p>
    <w:p w14:paraId="6578F5DC" w14:textId="50724D10" w:rsidR="00D743FB" w:rsidRPr="00BB3634" w:rsidRDefault="00D743FB" w:rsidP="00BB3634">
      <w:pPr>
        <w:pStyle w:val="Heading2"/>
        <w:spacing w:line="276" w:lineRule="auto"/>
        <w:rPr>
          <w:rFonts w:cs="Arial"/>
        </w:rPr>
      </w:pPr>
      <w:bookmarkStart w:id="99" w:name="_Toc94360180"/>
      <w:r w:rsidRPr="00BB3634">
        <w:rPr>
          <w:rFonts w:cs="Arial"/>
        </w:rPr>
        <w:t>Motor Vehicle Detentions</w:t>
      </w:r>
      <w:bookmarkEnd w:id="99"/>
    </w:p>
    <w:p w14:paraId="302BE54C" w14:textId="1D4EF3D2" w:rsidR="002A50FD" w:rsidRPr="00BB3634" w:rsidRDefault="002A50FD" w:rsidP="007A6720">
      <w:pPr>
        <w:pStyle w:val="Heading3"/>
        <w:numPr>
          <w:ilvl w:val="0"/>
          <w:numId w:val="29"/>
        </w:numPr>
      </w:pPr>
      <w:bookmarkStart w:id="100" w:name="_Toc94360181"/>
      <w:r w:rsidRPr="00BB3634">
        <w:t>General Principles</w:t>
      </w:r>
      <w:bookmarkEnd w:id="100"/>
    </w:p>
    <w:p w14:paraId="1F08526D" w14:textId="77777777" w:rsidR="002A50FD" w:rsidRPr="00BB3634" w:rsidRDefault="002A50FD" w:rsidP="000B18E5">
      <w:pPr>
        <w:pStyle w:val="NoSpacing"/>
      </w:pPr>
    </w:p>
    <w:p w14:paraId="6C7CEA70" w14:textId="33F2DBC6" w:rsidR="00D743FB" w:rsidRPr="00BB3634" w:rsidRDefault="00D743FB" w:rsidP="000B18E5">
      <w:pPr>
        <w:pStyle w:val="NoSpacing"/>
      </w:pPr>
      <w:r w:rsidRPr="00BB3634">
        <w:t>A roadside stop of a vehicle for a provincial regulatory offence under statutes like the</w:t>
      </w:r>
      <w:r w:rsidR="0075676A" w:rsidRPr="00BB3634">
        <w:t xml:space="preserve"> </w:t>
      </w:r>
      <w:r w:rsidRPr="00BB3634">
        <w:t>HTA (e.g. speeding) is a detention: </w:t>
      </w:r>
      <w:r w:rsidRPr="00BB3634">
        <w:rPr>
          <w:i/>
        </w:rPr>
        <w:t>R v Harflett, </w:t>
      </w:r>
      <w:hyperlink r:id="rId261" w:tgtFrame="_blank" w:history="1">
        <w:r w:rsidRPr="00BB3634">
          <w:rPr>
            <w:rStyle w:val="Hyperlink"/>
            <w:color w:val="auto"/>
          </w:rPr>
          <w:t>2016 ONCA 248</w:t>
        </w:r>
      </w:hyperlink>
      <w:r w:rsidRPr="00BB3634">
        <w:t> at para 18</w:t>
      </w:r>
    </w:p>
    <w:p w14:paraId="0F3AABA6" w14:textId="77777777" w:rsidR="00D743FB" w:rsidRPr="00BB3634" w:rsidRDefault="00D743FB" w:rsidP="000B18E5">
      <w:pPr>
        <w:pStyle w:val="NoSpacing"/>
      </w:pPr>
      <w:r w:rsidRPr="00BB3634">
        <w:rPr>
          <w:rStyle w:val="wixguard"/>
        </w:rPr>
        <w:t>​</w:t>
      </w:r>
    </w:p>
    <w:p w14:paraId="3236C970" w14:textId="7ADA9FA8" w:rsidR="002A50FD" w:rsidRPr="00BB3634" w:rsidRDefault="00D743FB" w:rsidP="000B18E5">
      <w:pPr>
        <w:pStyle w:val="NoSpacing"/>
      </w:pPr>
      <w:r w:rsidRPr="00BB3634">
        <w:t>Where the police conduct a valid HTA stop and thereafter legitimately form reasonable and probable grounds to arrest and search a vehicle, the fact that the police had a dual HTA/criminal purpose at the very outset of the stop does not taint the lawfulness of the initial stop and detention: </w:t>
      </w:r>
      <w:r w:rsidRPr="00BB3634">
        <w:rPr>
          <w:i/>
        </w:rPr>
        <w:t>R v Johnson, </w:t>
      </w:r>
      <w:hyperlink r:id="rId262" w:tgtFrame="_blank" w:history="1">
        <w:r w:rsidRPr="00BB3634">
          <w:rPr>
            <w:rStyle w:val="Hyperlink"/>
            <w:color w:val="auto"/>
          </w:rPr>
          <w:t>2016 ONCA 31</w:t>
        </w:r>
      </w:hyperlink>
      <w:r w:rsidRPr="00BB3634">
        <w:t> at para 9 </w:t>
      </w:r>
    </w:p>
    <w:p w14:paraId="22686558" w14:textId="77777777" w:rsidR="0075676A" w:rsidRPr="00BB3634" w:rsidRDefault="0075676A" w:rsidP="000B18E5">
      <w:pPr>
        <w:pStyle w:val="NoSpacing"/>
      </w:pPr>
    </w:p>
    <w:p w14:paraId="743917FB" w14:textId="5BDF6682" w:rsidR="002A50FD" w:rsidRPr="00BB3634" w:rsidRDefault="002A50FD" w:rsidP="000B18E5">
      <w:pPr>
        <w:pStyle w:val="NoSpacing"/>
      </w:pPr>
      <w:r w:rsidRPr="00BB3634">
        <w:t>Sometimes, a traffic stop may have more than one purpose. However, the mere existence of another purpose motivating the stop, beyond highway regulation and safety concerns, does not render the stop unlawful. But the additional purpose must itself not be improper, or proper but pursued through improper means, and must not entail an infringement on the liberty or security of any detained person beyond that contemplated by the purpose that underpins s. 216(1): </w:t>
      </w:r>
      <w:r w:rsidRPr="00BB3634">
        <w:rPr>
          <w:i/>
        </w:rPr>
        <w:t xml:space="preserve">R v Gonzales, </w:t>
      </w:r>
      <w:hyperlink r:id="rId263" w:history="1">
        <w:r w:rsidR="0003301C" w:rsidRPr="0003301C">
          <w:rPr>
            <w:rStyle w:val="Hyperlink"/>
          </w:rPr>
          <w:t>2017 ONCA 543</w:t>
        </w:r>
      </w:hyperlink>
      <w:r w:rsidR="0003301C">
        <w:t xml:space="preserve">, </w:t>
      </w:r>
      <w:r w:rsidRPr="00BB3634">
        <w:t>at para 58</w:t>
      </w:r>
      <w:r w:rsidR="008870BD" w:rsidRPr="00BB3634">
        <w:t xml:space="preserve">; </w:t>
      </w:r>
      <w:r w:rsidR="008870BD" w:rsidRPr="00BB3634">
        <w:rPr>
          <w:i/>
        </w:rPr>
        <w:t xml:space="preserve">R v Dudhi, </w:t>
      </w:r>
      <w:hyperlink r:id="rId264" w:history="1">
        <w:r w:rsidR="008870BD" w:rsidRPr="00BB3634">
          <w:rPr>
            <w:rStyle w:val="Hyperlink"/>
          </w:rPr>
          <w:t>2019 ONCA 665</w:t>
        </w:r>
      </w:hyperlink>
      <w:r w:rsidR="008870BD" w:rsidRPr="00BB3634">
        <w:t>, at para 91</w:t>
      </w:r>
    </w:p>
    <w:p w14:paraId="1A04A3A8" w14:textId="77777777" w:rsidR="0075676A" w:rsidRPr="00BB3634" w:rsidRDefault="0075676A" w:rsidP="000B18E5">
      <w:pPr>
        <w:pStyle w:val="NoSpacing"/>
      </w:pPr>
    </w:p>
    <w:p w14:paraId="4D59FB15" w14:textId="41519DE1" w:rsidR="002A50FD" w:rsidRDefault="002A50FD" w:rsidP="000B18E5">
      <w:pPr>
        <w:pStyle w:val="NoSpacing"/>
      </w:pPr>
      <w:r w:rsidRPr="00BB3634">
        <w:t xml:space="preserve">Gathering police intelligence falls within the ongoing police duty to investigate criminal activity. And so it is that it is permissible for police to intend, within the confines of a stop and detention authorized by </w:t>
      </w:r>
      <w:r w:rsidR="0075676A" w:rsidRPr="00BB3634">
        <w:t xml:space="preserve">the </w:t>
      </w:r>
      <w:r w:rsidR="0075676A" w:rsidRPr="00BB3634">
        <w:rPr>
          <w:i/>
        </w:rPr>
        <w:t>HTA</w:t>
      </w:r>
      <w:r w:rsidRPr="00BB3634">
        <w:t xml:space="preserve"> to avail themselves of the opportunity to further the legitimate police interest of gathering intelligence in their investigation of criminal activity: </w:t>
      </w:r>
      <w:r w:rsidRPr="00BB3634">
        <w:rPr>
          <w:i/>
        </w:rPr>
        <w:t>Gonazles</w:t>
      </w:r>
      <w:r w:rsidRPr="00BB3634">
        <w:t xml:space="preserve"> at para 59</w:t>
      </w:r>
    </w:p>
    <w:p w14:paraId="7322A357" w14:textId="12E1424F" w:rsidR="00AA12DC" w:rsidRDefault="00AA12DC" w:rsidP="000B18E5">
      <w:pPr>
        <w:pStyle w:val="NoSpacing"/>
      </w:pPr>
    </w:p>
    <w:p w14:paraId="205D3D56" w14:textId="2898477E" w:rsidR="00AA12DC" w:rsidRDefault="00AA12DC" w:rsidP="000B18E5">
      <w:pPr>
        <w:pStyle w:val="NoSpacing"/>
        <w:rPr>
          <w:rStyle w:val="Hyperlink"/>
        </w:rPr>
      </w:pPr>
      <w:r>
        <w:lastRenderedPageBreak/>
        <w:t xml:space="preserve">The continued detention of a passenger after an HTA investigation is complete is unlawful and violates s.9: </w:t>
      </w:r>
      <w:r>
        <w:rPr>
          <w:i/>
        </w:rPr>
        <w:t xml:space="preserve">R v Mhlongo, </w:t>
      </w:r>
      <w:hyperlink r:id="rId265" w:history="1">
        <w:r w:rsidRPr="002D4BD2">
          <w:rPr>
            <w:rStyle w:val="Hyperlink"/>
          </w:rPr>
          <w:t>2017 ONCA 562</w:t>
        </w:r>
      </w:hyperlink>
    </w:p>
    <w:p w14:paraId="74FB717B" w14:textId="6D3D6B2D" w:rsidR="00D504F2" w:rsidRDefault="00D504F2" w:rsidP="000B18E5">
      <w:pPr>
        <w:pStyle w:val="NoSpacing"/>
        <w:rPr>
          <w:rStyle w:val="Hyperlink"/>
        </w:rPr>
      </w:pPr>
    </w:p>
    <w:p w14:paraId="684581F9" w14:textId="60210A3C" w:rsidR="00D504F2" w:rsidRDefault="00D504F2" w:rsidP="000B18E5">
      <w:pPr>
        <w:pStyle w:val="NoSpacing"/>
      </w:pPr>
      <w:r>
        <w:t>A</w:t>
      </w:r>
      <w:r w:rsidRPr="00D504F2">
        <w:t xml:space="preserve"> private driveway is not a highway as defined in the </w:t>
      </w:r>
      <w:r w:rsidRPr="00D504F2">
        <w:rPr>
          <w:i/>
        </w:rPr>
        <w:t>HT</w:t>
      </w:r>
      <w:r>
        <w:rPr>
          <w:i/>
        </w:rPr>
        <w:t xml:space="preserve">A. </w:t>
      </w:r>
      <w:r>
        <w:t xml:space="preserve">As a result, a </w:t>
      </w:r>
      <w:r w:rsidRPr="00D504F2">
        <w:t xml:space="preserve">in their private driveway cannot be a “driver” </w:t>
      </w:r>
      <w:r>
        <w:t xml:space="preserve">under s.1(1) </w:t>
      </w:r>
      <w:r w:rsidRPr="00D504F2">
        <w:t>as they are not a “person who drives a vehicle on a </w:t>
      </w:r>
      <w:r w:rsidRPr="00D504F2">
        <w:rPr>
          <w:u w:val="single"/>
        </w:rPr>
        <w:t>highway</w:t>
      </w:r>
      <w:r w:rsidRPr="00D504F2">
        <w:t>”</w:t>
      </w:r>
      <w:r>
        <w:rPr>
          <w:i/>
        </w:rPr>
        <w:t xml:space="preserve">: R v McColman, </w:t>
      </w:r>
      <w:hyperlink r:id="rId266" w:history="1">
        <w:r w:rsidRPr="00D504F2">
          <w:rPr>
            <w:rStyle w:val="Hyperlink"/>
          </w:rPr>
          <w:t>2021 ONCA 382</w:t>
        </w:r>
      </w:hyperlink>
      <w:r>
        <w:t>, at paras 33-35</w:t>
      </w:r>
    </w:p>
    <w:p w14:paraId="6E9279A2" w14:textId="2EC9EF3E" w:rsidR="00D504F2" w:rsidRDefault="00D504F2" w:rsidP="000B18E5">
      <w:pPr>
        <w:pStyle w:val="NoSpacing"/>
      </w:pPr>
    </w:p>
    <w:p w14:paraId="11EB81B6" w14:textId="6664C3D2" w:rsidR="002A50FD" w:rsidRDefault="00BB46E0" w:rsidP="000B18E5">
      <w:pPr>
        <w:pStyle w:val="NoSpacing"/>
      </w:pPr>
      <w:r>
        <w:t>P</w:t>
      </w:r>
      <w:r w:rsidRPr="00BB46E0">
        <w:t>olice have a common law power to randomly stop vehicles in the course of protecting public roadways, absent reasonable suspicion</w:t>
      </w:r>
      <w:r>
        <w:t>. R</w:t>
      </w:r>
      <w:r w:rsidRPr="00BB46E0">
        <w:t>andom stops for the purpose of investigating motor vehicle infringements on a public highway are an arbitrary detention, but are justifiable pursuant to s. 1</w:t>
      </w:r>
      <w:r>
        <w:t xml:space="preserve">. However, the stop must not be turned into a means of conducting either an unfounded investigation or unreasonable search. The power to stop must be </w:t>
      </w:r>
      <w:r w:rsidR="007801FF">
        <w:t xml:space="preserve">made in furtherance of the police duty to protect those who use the public roadways: </w:t>
      </w:r>
      <w:r w:rsidR="007801FF">
        <w:rPr>
          <w:i/>
        </w:rPr>
        <w:t xml:space="preserve">R v McColman, </w:t>
      </w:r>
      <w:hyperlink r:id="rId267" w:history="1">
        <w:r w:rsidR="007801FF" w:rsidRPr="007801FF">
          <w:rPr>
            <w:rStyle w:val="Hyperlink"/>
          </w:rPr>
          <w:t>2021 ONCA 382</w:t>
        </w:r>
      </w:hyperlink>
      <w:r w:rsidR="007801FF">
        <w:t>, at paras 46-47</w:t>
      </w:r>
    </w:p>
    <w:p w14:paraId="42B9417B" w14:textId="77777777" w:rsidR="00C57050" w:rsidRDefault="00C57050" w:rsidP="000B18E5">
      <w:pPr>
        <w:pStyle w:val="NoSpacing"/>
      </w:pPr>
    </w:p>
    <w:p w14:paraId="567E6305" w14:textId="5C3C3526" w:rsidR="007801FF" w:rsidRPr="007801FF" w:rsidRDefault="007801FF" w:rsidP="000B18E5">
      <w:pPr>
        <w:pStyle w:val="NoSpacing"/>
      </w:pPr>
      <w:r w:rsidRPr="007801FF">
        <w:t>[</w:t>
      </w:r>
      <w:r>
        <w:t>T</w:t>
      </w:r>
      <w:r w:rsidRPr="007801FF">
        <w:t xml:space="preserve">he common law </w:t>
      </w:r>
      <w:r>
        <w:t xml:space="preserve">does not </w:t>
      </w:r>
      <w:r w:rsidRPr="007801FF">
        <w:t>authorize the police to conduct a random sobriety check on a private driveway, in circumstances not authorized by the </w:t>
      </w:r>
      <w:r w:rsidRPr="007801FF">
        <w:rPr>
          <w:i/>
        </w:rPr>
        <w:t>HTA</w:t>
      </w:r>
      <w:r w:rsidRPr="007801FF">
        <w:t xml:space="preserve">, where the person exited the highway after the officer decided to conduct the stop but </w:t>
      </w:r>
      <w:r w:rsidRPr="00C57050">
        <w:t xml:space="preserve">before the officer initiated the stop, and there are no grounds to suspect that an offence has been or is about to be committed: </w:t>
      </w:r>
      <w:r w:rsidRPr="00C57050">
        <w:rPr>
          <w:i/>
        </w:rPr>
        <w:t xml:space="preserve">R v McColman, </w:t>
      </w:r>
      <w:hyperlink r:id="rId268" w:history="1">
        <w:r w:rsidRPr="00C57050">
          <w:rPr>
            <w:rStyle w:val="Hyperlink"/>
          </w:rPr>
          <w:t xml:space="preserve">2021 </w:t>
        </w:r>
        <w:r w:rsidRPr="00C57050">
          <w:rPr>
            <w:rStyle w:val="Hyperlink"/>
          </w:rPr>
          <w:t>O</w:t>
        </w:r>
        <w:r w:rsidRPr="00C57050">
          <w:rPr>
            <w:rStyle w:val="Hyperlink"/>
          </w:rPr>
          <w:t>NCA 382</w:t>
        </w:r>
      </w:hyperlink>
      <w:r w:rsidRPr="00C57050">
        <w:t>, at para</w:t>
      </w:r>
      <w:r w:rsidR="00C57050" w:rsidRPr="00C57050">
        <w:t xml:space="preserve"> 48</w:t>
      </w:r>
    </w:p>
    <w:p w14:paraId="49A98830" w14:textId="77777777" w:rsidR="007801FF" w:rsidRPr="007801FF" w:rsidRDefault="007801FF" w:rsidP="007801FF"/>
    <w:p w14:paraId="4B33463E" w14:textId="77777777" w:rsidR="007801FF" w:rsidRPr="007801FF" w:rsidRDefault="007801FF" w:rsidP="000B18E5">
      <w:pPr>
        <w:pStyle w:val="NoSpacing"/>
      </w:pPr>
    </w:p>
    <w:p w14:paraId="39A30913" w14:textId="38B411E9" w:rsidR="007E7365" w:rsidRPr="00BB3634" w:rsidRDefault="007E7365" w:rsidP="007A6720">
      <w:pPr>
        <w:pStyle w:val="Heading3"/>
        <w:numPr>
          <w:ilvl w:val="0"/>
          <w:numId w:val="29"/>
        </w:numPr>
      </w:pPr>
      <w:bookmarkStart w:id="101" w:name="_Toc94360182"/>
      <w:r w:rsidRPr="00BB3634">
        <w:t xml:space="preserve">Section </w:t>
      </w:r>
      <w:r w:rsidR="005A14D4" w:rsidRPr="00BB3634">
        <w:t>48(1) of the HTA</w:t>
      </w:r>
      <w:bookmarkEnd w:id="101"/>
    </w:p>
    <w:p w14:paraId="66377139" w14:textId="77777777" w:rsidR="00D743FB" w:rsidRPr="00BB3634" w:rsidRDefault="00D743FB" w:rsidP="000B18E5">
      <w:pPr>
        <w:pStyle w:val="NoSpacing"/>
      </w:pPr>
      <w:r w:rsidRPr="00BB3634">
        <w:t> </w:t>
      </w:r>
    </w:p>
    <w:p w14:paraId="738C4CD6" w14:textId="77777777" w:rsidR="005A14D4" w:rsidRPr="00BB3634" w:rsidRDefault="005A14D4" w:rsidP="000B18E5">
      <w:pPr>
        <w:pStyle w:val="NoSpacing"/>
      </w:pPr>
      <w:r w:rsidRPr="00BB3634">
        <w:t> Section 48(1) of the </w:t>
      </w:r>
      <w:r w:rsidRPr="00BB3634">
        <w:rPr>
          <w:i/>
        </w:rPr>
        <w:t>Highway Traffic Act</w:t>
      </w:r>
      <w:r w:rsidRPr="00BB3634">
        <w:t> reads:</w:t>
      </w:r>
    </w:p>
    <w:p w14:paraId="75FF86BE" w14:textId="77777777" w:rsidR="005A14D4" w:rsidRPr="00BB3634" w:rsidRDefault="005A14D4" w:rsidP="000B18E5">
      <w:pPr>
        <w:pStyle w:val="NoSpacing"/>
      </w:pPr>
    </w:p>
    <w:p w14:paraId="686CAE64" w14:textId="77777777" w:rsidR="005A14D4" w:rsidRPr="00BB3634" w:rsidRDefault="005A14D4" w:rsidP="000B18E5">
      <w:pPr>
        <w:pStyle w:val="NoSpacing"/>
      </w:pPr>
      <w:r w:rsidRPr="00BB3634">
        <w:t>A police officer, readily identifiable as such, may require the driver of a motor vehicle to stop for the purpose of determining whether or not there is evidence to justify making a demand under section 254 of the </w:t>
      </w:r>
      <w:r w:rsidRPr="00BB3634">
        <w:rPr>
          <w:i/>
        </w:rPr>
        <w:t>Criminal Code </w:t>
      </w:r>
      <w:r w:rsidRPr="00BB3634">
        <w:t>(Canada).</w:t>
      </w:r>
    </w:p>
    <w:p w14:paraId="66E11684" w14:textId="77777777" w:rsidR="005A14D4" w:rsidRPr="00BB3634" w:rsidRDefault="005A14D4" w:rsidP="000B18E5">
      <w:pPr>
        <w:pStyle w:val="NoSpacing"/>
      </w:pPr>
    </w:p>
    <w:p w14:paraId="6EB42A0F" w14:textId="70F88374" w:rsidR="005A14D4" w:rsidRDefault="005A14D4" w:rsidP="000B18E5">
      <w:pPr>
        <w:pStyle w:val="NoSpacing"/>
      </w:pPr>
      <w:r w:rsidRPr="00BB3634">
        <w:t>Police officers have the right to stop a vehicle for the purpose of checking on the sobriety of the driver. This is a power that the police have both at common law and through statutes such as the </w:t>
      </w:r>
      <w:r w:rsidRPr="00BB3634">
        <w:rPr>
          <w:i/>
        </w:rPr>
        <w:t>Highway Traffic Act</w:t>
      </w:r>
      <w:r w:rsidRPr="00BB3634">
        <w:t>: </w:t>
      </w:r>
      <w:r w:rsidRPr="00BB3634">
        <w:rPr>
          <w:i/>
        </w:rPr>
        <w:t>R. v. Orbanski; R. v. Elias</w:t>
      </w:r>
      <w:r w:rsidRPr="00BB3634">
        <w:t>, 2005 SCC 37, [2005] 2 S.C.R. 3, at para. 41.</w:t>
      </w:r>
    </w:p>
    <w:p w14:paraId="08D7FB4B" w14:textId="60D0335A" w:rsidR="00D504F2" w:rsidRDefault="00D504F2" w:rsidP="000B18E5">
      <w:pPr>
        <w:pStyle w:val="NoSpacing"/>
      </w:pPr>
    </w:p>
    <w:p w14:paraId="2E4EEBFF" w14:textId="335D5CE7" w:rsidR="00D504F2" w:rsidRPr="00D504F2" w:rsidRDefault="00D504F2" w:rsidP="000B18E5">
      <w:pPr>
        <w:pStyle w:val="NoSpacing"/>
      </w:pPr>
      <w:r w:rsidRPr="00D504F2">
        <w:lastRenderedPageBreak/>
        <w:t>s. 48(1) authorizes an officer to randomly stop a vehicle absent reasonable suspicion or reasonable and probable grounds:</w:t>
      </w:r>
      <w:r>
        <w:t xml:space="preserve"> </w:t>
      </w:r>
      <w:r>
        <w:rPr>
          <w:i/>
        </w:rPr>
        <w:t xml:space="preserve">R v McColman, </w:t>
      </w:r>
      <w:hyperlink r:id="rId269" w:history="1">
        <w:r w:rsidRPr="00D504F2">
          <w:rPr>
            <w:rStyle w:val="Hyperlink"/>
          </w:rPr>
          <w:t>2021 ONCA 382</w:t>
        </w:r>
      </w:hyperlink>
      <w:r>
        <w:t>, at para 29</w:t>
      </w:r>
    </w:p>
    <w:p w14:paraId="63120FC3" w14:textId="77777777" w:rsidR="00282D81" w:rsidRPr="00BB3634" w:rsidRDefault="00282D81" w:rsidP="000B18E5">
      <w:pPr>
        <w:pStyle w:val="NoSpacing"/>
      </w:pPr>
    </w:p>
    <w:p w14:paraId="10BE779D" w14:textId="536FB386" w:rsidR="005A14D4" w:rsidRDefault="005A14D4" w:rsidP="000B18E5">
      <w:pPr>
        <w:pStyle w:val="NoSpacing"/>
      </w:pPr>
      <w:r w:rsidRPr="00BB3634">
        <w:t>The actions of the police in stopping a vehicle under their authority at common law or by statute only constitutes an unconstitutional stop if the reason for the stop is unconnect</w:t>
      </w:r>
      <w:r w:rsidR="00282D81" w:rsidRPr="00BB3634">
        <w:t xml:space="preserve">ed to a highway safety purpose: </w:t>
      </w:r>
      <w:r w:rsidR="00282D81" w:rsidRPr="00BB3634">
        <w:rPr>
          <w:i/>
        </w:rPr>
        <w:t xml:space="preserve">R v </w:t>
      </w:r>
      <w:r w:rsidR="00FB61DF" w:rsidRPr="00BB3634">
        <w:rPr>
          <w:i/>
        </w:rPr>
        <w:t xml:space="preserve">Gardner, </w:t>
      </w:r>
      <w:hyperlink r:id="rId270" w:history="1">
        <w:r w:rsidR="00FB61DF" w:rsidRPr="00BB3634">
          <w:rPr>
            <w:rStyle w:val="Hyperlink"/>
          </w:rPr>
          <w:t>2018 ONCA 584</w:t>
        </w:r>
      </w:hyperlink>
      <w:r w:rsidR="00FB61DF" w:rsidRPr="00BB3634">
        <w:t xml:space="preserve"> at paras 21-22</w:t>
      </w:r>
    </w:p>
    <w:p w14:paraId="7F47058D" w14:textId="62ACE550" w:rsidR="00D504F2" w:rsidRDefault="00D504F2" w:rsidP="000B18E5">
      <w:pPr>
        <w:pStyle w:val="NoSpacing"/>
      </w:pPr>
    </w:p>
    <w:p w14:paraId="1DE607E7" w14:textId="011B208B" w:rsidR="00D504F2" w:rsidRPr="00BB3634" w:rsidRDefault="00D504F2" w:rsidP="000B18E5">
      <w:pPr>
        <w:pStyle w:val="NoSpacing"/>
      </w:pPr>
      <w:r>
        <w:t>Police power to stop under s.48(1) is confined to highways. If a driver reaches a private driveway</w:t>
      </w:r>
      <w:r w:rsidR="00BB46E0">
        <w:t xml:space="preserve"> before police initiate a stop, they no longer have authority to stop the driver</w:t>
      </w:r>
      <w:r w:rsidR="007801FF">
        <w:t xml:space="preserve"> either under the HTA or a</w:t>
      </w:r>
      <w:r w:rsidR="007801FF" w:rsidRPr="00C57050">
        <w:t>t common law</w:t>
      </w:r>
      <w:r w:rsidR="00BB46E0" w:rsidRPr="00C57050">
        <w:t xml:space="preserve">: </w:t>
      </w:r>
      <w:r w:rsidR="00BB46E0" w:rsidRPr="00C57050">
        <w:rPr>
          <w:i/>
        </w:rPr>
        <w:t xml:space="preserve">R v McColman, </w:t>
      </w:r>
      <w:hyperlink r:id="rId271" w:history="1">
        <w:r w:rsidR="00BB46E0" w:rsidRPr="00C57050">
          <w:rPr>
            <w:rStyle w:val="Hyperlink"/>
          </w:rPr>
          <w:t>2021 ONCA 382</w:t>
        </w:r>
      </w:hyperlink>
      <w:r w:rsidR="00BB46E0" w:rsidRPr="00C57050">
        <w:t>, at paras 30-44</w:t>
      </w:r>
    </w:p>
    <w:p w14:paraId="4FD983F2" w14:textId="77777777" w:rsidR="005A14D4" w:rsidRPr="00BB3634" w:rsidRDefault="005A14D4" w:rsidP="000B18E5">
      <w:pPr>
        <w:pStyle w:val="NoSpacing"/>
      </w:pPr>
    </w:p>
    <w:p w14:paraId="7C455FD4" w14:textId="393BAACC" w:rsidR="002A50FD" w:rsidRPr="00BB3634" w:rsidRDefault="00E32F34" w:rsidP="007A6720">
      <w:pPr>
        <w:pStyle w:val="Heading3"/>
        <w:numPr>
          <w:ilvl w:val="0"/>
          <w:numId w:val="29"/>
        </w:numPr>
        <w:rPr>
          <w:sz w:val="24"/>
          <w:szCs w:val="24"/>
        </w:rPr>
      </w:pPr>
      <w:hyperlink r:id="rId272" w:anchor="BK375" w:history="1">
        <w:bookmarkStart w:id="102" w:name="_Toc94360183"/>
        <w:r w:rsidR="002A50FD" w:rsidRPr="00BB3634">
          <w:rPr>
            <w:rStyle w:val="Hyperlink"/>
            <w:color w:val="632423" w:themeColor="accent2" w:themeShade="80"/>
            <w:sz w:val="24"/>
            <w:szCs w:val="24"/>
          </w:rPr>
          <w:t>Section 216(1)</w:t>
        </w:r>
      </w:hyperlink>
      <w:r w:rsidR="002A50FD" w:rsidRPr="00BB3634">
        <w:rPr>
          <w:sz w:val="24"/>
          <w:szCs w:val="24"/>
        </w:rPr>
        <w:t xml:space="preserve"> of the HTA</w:t>
      </w:r>
      <w:bookmarkEnd w:id="102"/>
    </w:p>
    <w:p w14:paraId="04645B0E" w14:textId="77777777" w:rsidR="0075676A" w:rsidRPr="00BB3634" w:rsidRDefault="0075676A" w:rsidP="000B18E5">
      <w:pPr>
        <w:pStyle w:val="NoSpacing"/>
      </w:pPr>
    </w:p>
    <w:p w14:paraId="1E730279" w14:textId="5326782B" w:rsidR="002A50FD" w:rsidRPr="00BB3634" w:rsidRDefault="00E32F34" w:rsidP="000B18E5">
      <w:pPr>
        <w:pStyle w:val="NoSpacing"/>
      </w:pPr>
      <w:hyperlink r:id="rId273" w:anchor="BK375" w:history="1">
        <w:r w:rsidR="002A50FD" w:rsidRPr="00BB3634">
          <w:rPr>
            <w:rStyle w:val="Hyperlink"/>
          </w:rPr>
          <w:t>Section 216(1)</w:t>
        </w:r>
      </w:hyperlink>
      <w:r w:rsidR="002A50FD" w:rsidRPr="00BB3634">
        <w:t xml:space="preserve"> of the </w:t>
      </w:r>
      <w:r w:rsidR="002A50FD" w:rsidRPr="00BB3634">
        <w:rPr>
          <w:i/>
        </w:rPr>
        <w:t>HTA</w:t>
      </w:r>
      <w:r w:rsidR="002A50FD" w:rsidRPr="00BB3634">
        <w:t> authorizes a police officer to stop vehicles for highway regulation and safety purposes, even where the stops are random. This detention is circumscribed by its purpose. It is limited to the roadside. It must be brief, unless other grounds are established that permit a further detention. An officer may require a driver to produce the documents drivers are legally required to have with them. To check those documents against information contained in databases accessible through the onboard computer terminal in police vehicles, an officer is entitled to detain the vehicle and its occupants while doing so.</w:t>
      </w:r>
    </w:p>
    <w:p w14:paraId="03FC62BB" w14:textId="77777777" w:rsidR="0075676A" w:rsidRPr="00BB3634" w:rsidRDefault="0075676A" w:rsidP="000B18E5">
      <w:pPr>
        <w:pStyle w:val="NoSpacing"/>
      </w:pPr>
    </w:p>
    <w:p w14:paraId="3D328DC9" w14:textId="6B8D62BD" w:rsidR="002A50FD" w:rsidRPr="00BB3634" w:rsidRDefault="002A50FD" w:rsidP="000B18E5">
      <w:pPr>
        <w:pStyle w:val="NoSpacing"/>
      </w:pPr>
      <w:r w:rsidRPr="00BB3634">
        <w:t>In addition to requiring production of various documents associated with the operation of a motor vehicle, a police officer, acting under the authority of s. 216(1) of the </w:t>
      </w:r>
      <w:r w:rsidRPr="00BB3634">
        <w:rPr>
          <w:i/>
        </w:rPr>
        <w:t>HTA</w:t>
      </w:r>
      <w:r w:rsidRPr="00BB3634">
        <w:t xml:space="preserve">, may also make a visual examination of the interior of the vehicle to ensure their own safety during the detention. However, s. 216(1) does not authorize more intrusive examinations of the interior of the vehicle or inquiries of any occupant directed at subjects not relevant to highway safety concerns: </w:t>
      </w:r>
      <w:r w:rsidRPr="00BB3634">
        <w:rPr>
          <w:i/>
        </w:rPr>
        <w:t xml:space="preserve">R v Gonzales, </w:t>
      </w:r>
      <w:hyperlink r:id="rId274" w:history="1">
        <w:r w:rsidRPr="00BB3634">
          <w:rPr>
            <w:rStyle w:val="Hyperlink"/>
          </w:rPr>
          <w:t>2017 ONCA 435</w:t>
        </w:r>
      </w:hyperlink>
      <w:r w:rsidRPr="00BB3634">
        <w:t xml:space="preserve"> at paras 55-56</w:t>
      </w:r>
    </w:p>
    <w:p w14:paraId="77549C48" w14:textId="77777777" w:rsidR="0075676A" w:rsidRPr="00BB3634" w:rsidRDefault="0075676A" w:rsidP="000B18E5">
      <w:pPr>
        <w:pStyle w:val="NoSpacing"/>
      </w:pPr>
    </w:p>
    <w:p w14:paraId="1156CBC2" w14:textId="7177D201" w:rsidR="002A50FD" w:rsidRPr="00BB3634" w:rsidRDefault="002A50FD" w:rsidP="000B18E5">
      <w:pPr>
        <w:pStyle w:val="NoSpacing"/>
      </w:pPr>
      <w:r w:rsidRPr="00BB3634">
        <w:t xml:space="preserve">Stops made under s. 216(1) will not result in an arbitrary detention provided the decision to stop is made in accordance with some standard or standards which promote the legislative purpose underlying the statutory authorization for the stop, that is to say, road safety concerns. Where road safety concerns are removed as a basis for the stop, then powers associated with and predicated </w:t>
      </w:r>
      <w:r w:rsidRPr="00BB3634">
        <w:lastRenderedPageBreak/>
        <w:t>upon those concerns cannot be summoned to legitimize the stop and some other legal authority must be found as a sponsor: </w:t>
      </w:r>
      <w:r w:rsidRPr="00BB3634">
        <w:rPr>
          <w:i/>
        </w:rPr>
        <w:t xml:space="preserve">Gonzales </w:t>
      </w:r>
      <w:r w:rsidRPr="00BB3634">
        <w:t>at para 60</w:t>
      </w:r>
    </w:p>
    <w:p w14:paraId="3DEE32F5" w14:textId="7625B3DF" w:rsidR="0001571A" w:rsidRPr="00BB3634" w:rsidRDefault="0001571A" w:rsidP="000B18E5">
      <w:pPr>
        <w:pStyle w:val="NoSpacing"/>
      </w:pPr>
    </w:p>
    <w:p w14:paraId="28ABCD13" w14:textId="7162DF1E" w:rsidR="0001571A" w:rsidRPr="00BB3634" w:rsidRDefault="0001571A" w:rsidP="000B18E5">
      <w:pPr>
        <w:pStyle w:val="NoSpacing"/>
      </w:pPr>
      <w:r w:rsidRPr="00BB3634">
        <w:t xml:space="preserve">If the officer does not have a legitimate road safety purpose in mind and is using the Highway Traffic Act authority as a mere ruse or pretext to stop a vehicle in order to investigate a crime, then the detention will be unlawful. As Doherty J.A. held in Brown, the Highway Traffic Act powers will not authorize police stops if the police use these powers as a “ruse” to justify a stop for another purpose: see </w:t>
      </w:r>
      <w:r w:rsidRPr="00BB3634">
        <w:rPr>
          <w:i/>
        </w:rPr>
        <w:t xml:space="preserve">R v Mayor, </w:t>
      </w:r>
      <w:hyperlink r:id="rId275" w:history="1">
        <w:r w:rsidRPr="00BB3634">
          <w:rPr>
            <w:rStyle w:val="Hyperlink"/>
          </w:rPr>
          <w:t>2019 ONCA 578</w:t>
        </w:r>
      </w:hyperlink>
      <w:r w:rsidRPr="00BB3634">
        <w:t>, at para 9, see also paras 6-10</w:t>
      </w:r>
    </w:p>
    <w:p w14:paraId="09E3FDC7" w14:textId="77777777" w:rsidR="0001571A" w:rsidRPr="00BB3634" w:rsidRDefault="0001571A" w:rsidP="000B18E5">
      <w:pPr>
        <w:pStyle w:val="NoSpacing"/>
      </w:pPr>
    </w:p>
    <w:p w14:paraId="1F726E2C" w14:textId="6978C693" w:rsidR="0001571A" w:rsidRPr="00BB3634" w:rsidRDefault="0001571A" w:rsidP="000B18E5">
      <w:pPr>
        <w:pStyle w:val="NoSpacing"/>
        <w:rPr>
          <w:i/>
        </w:rPr>
      </w:pPr>
      <w:r w:rsidRPr="00BB3634">
        <w:t xml:space="preserve">The trial judge cannot rely on the fact that a valid HTA purpose existed as dispositive of whether or not an arbitrary detention occurred. It is incumbent on the trial judge to analyze whether, notwithstanding that a valid basis for the stop existed, the police in fact subjectively relied upon this purpose, rather than using it as a pretext to advance a criminal investigation: </w:t>
      </w:r>
      <w:r w:rsidRPr="00BB3634">
        <w:rPr>
          <w:i/>
        </w:rPr>
        <w:t xml:space="preserve">R v Mayor, </w:t>
      </w:r>
      <w:hyperlink r:id="rId276" w:history="1">
        <w:r w:rsidRPr="00BB3634">
          <w:rPr>
            <w:rStyle w:val="Hyperlink"/>
          </w:rPr>
          <w:t>2019 ONCA 578</w:t>
        </w:r>
      </w:hyperlink>
      <w:r w:rsidRPr="00BB3634">
        <w:t>, at para 13</w:t>
      </w:r>
    </w:p>
    <w:p w14:paraId="088B1CAF" w14:textId="77777777" w:rsidR="0001571A" w:rsidRPr="00BB3634" w:rsidRDefault="0001571A" w:rsidP="000B18E5">
      <w:pPr>
        <w:pStyle w:val="NoSpacing"/>
      </w:pPr>
    </w:p>
    <w:p w14:paraId="08CA994D" w14:textId="5B268A06" w:rsidR="002A50FD" w:rsidRPr="00BB3634" w:rsidRDefault="002A50FD" w:rsidP="007A6720">
      <w:pPr>
        <w:pStyle w:val="Heading3"/>
        <w:numPr>
          <w:ilvl w:val="0"/>
          <w:numId w:val="29"/>
        </w:numPr>
      </w:pPr>
      <w:bookmarkStart w:id="103" w:name="_Toc94360184"/>
      <w:r w:rsidRPr="00BB3634">
        <w:t>Standard of Review</w:t>
      </w:r>
      <w:bookmarkEnd w:id="103"/>
    </w:p>
    <w:p w14:paraId="2BAB46D7" w14:textId="29360D41" w:rsidR="002A50FD" w:rsidRPr="00BB3634" w:rsidRDefault="002A50FD" w:rsidP="000B18E5">
      <w:pPr>
        <w:pStyle w:val="NoSpacing"/>
      </w:pPr>
      <w:r w:rsidRPr="00BB3634">
        <w:t>A trial judge’s finding that highway regulation or safety concerns was a purpose that animated a traffic stop is a finding of fact. As a consequence, the finding is subject to deference and cannot be set aside by this court unless it is unreasonable or based upon a material misapprehension of the evidence adduced at trial:</w:t>
      </w:r>
      <w:r w:rsidR="0075676A" w:rsidRPr="00BB3634">
        <w:t xml:space="preserve"> </w:t>
      </w:r>
      <w:r w:rsidR="0075676A" w:rsidRPr="00BB3634">
        <w:rPr>
          <w:i/>
        </w:rPr>
        <w:t>R v Gonzales,</w:t>
      </w:r>
      <w:r w:rsidRPr="00BB3634">
        <w:t> </w:t>
      </w:r>
      <w:hyperlink r:id="rId277" w:history="1">
        <w:r w:rsidRPr="00BB3634">
          <w:rPr>
            <w:rStyle w:val="Hyperlink"/>
          </w:rPr>
          <w:t>2017 ONCA 435</w:t>
        </w:r>
      </w:hyperlink>
      <w:r w:rsidRPr="00BB3634">
        <w:t xml:space="preserve"> at para 57</w:t>
      </w:r>
    </w:p>
    <w:p w14:paraId="048F8949" w14:textId="25AB2D6A" w:rsidR="005956AC" w:rsidRPr="00BB3634" w:rsidRDefault="005956AC" w:rsidP="000B18E5">
      <w:pPr>
        <w:pStyle w:val="NoSpacing"/>
      </w:pPr>
    </w:p>
    <w:p w14:paraId="32F9F20F" w14:textId="77777777" w:rsidR="005956AC" w:rsidRPr="00BB3634" w:rsidRDefault="005956AC" w:rsidP="000B18E5">
      <w:pPr>
        <w:pStyle w:val="NoSpacing"/>
      </w:pPr>
    </w:p>
    <w:p w14:paraId="02D05C22" w14:textId="53D9A700" w:rsidR="00EF4A32" w:rsidRPr="00BB3634" w:rsidRDefault="00EF4A32" w:rsidP="007A6720">
      <w:pPr>
        <w:pStyle w:val="Heading3"/>
        <w:numPr>
          <w:ilvl w:val="0"/>
          <w:numId w:val="29"/>
        </w:numPr>
      </w:pPr>
      <w:bookmarkStart w:id="104" w:name="_Toc94360185"/>
      <w:r w:rsidRPr="00BB3634">
        <w:t>CPIC Check During Detention</w:t>
      </w:r>
      <w:bookmarkEnd w:id="104"/>
    </w:p>
    <w:p w14:paraId="583047B8" w14:textId="4F3C45D8" w:rsidR="00EF4A32" w:rsidRPr="00BB3634" w:rsidRDefault="00EF4A32" w:rsidP="00BB3634">
      <w:pPr>
        <w:spacing w:line="276" w:lineRule="auto"/>
        <w:rPr>
          <w:rFonts w:ascii="Arial" w:hAnsi="Arial" w:cs="Arial"/>
        </w:rPr>
      </w:pPr>
    </w:p>
    <w:p w14:paraId="671090A3" w14:textId="746574FE" w:rsidR="00BB3634" w:rsidRDefault="00EF4A32" w:rsidP="000B18E5">
      <w:pPr>
        <w:pStyle w:val="NoSpacing"/>
      </w:pPr>
      <w:r w:rsidRPr="00BB3634">
        <w:t>In </w:t>
      </w:r>
      <w:hyperlink r:id="rId278" w:history="1">
        <w:r w:rsidRPr="00BB3634">
          <w:rPr>
            <w:i/>
            <w:color w:val="0000FF"/>
            <w:u w:val="single"/>
          </w:rPr>
          <w:t>Loewen</w:t>
        </w:r>
      </w:hyperlink>
      <w:r w:rsidRPr="00BB3634">
        <w:t>, 2018 SKCA 69, the Saskatchewan Court of Appeal held, in part, that a passenger in a vehicle was detained when the police took his identification card away to run a “CPIC check” of police computerized records. The detaining police officer testified he always requested identification from passengers during traffic stops “to find people who are either breaching court ordered conditions, wanted on warrants, outstanding criminals, that type of thing as part of [his] job” (quoted at para. 7). The court held a passenger would feel unable to leave while the police had his identification. Because the police had no grounds to detain the passenger and were only running a “check,” the detention was arbitrary.</w:t>
      </w:r>
    </w:p>
    <w:p w14:paraId="73462B55" w14:textId="65F94DD8" w:rsidR="00AA12DC" w:rsidRDefault="00AA12DC" w:rsidP="000B18E5">
      <w:pPr>
        <w:pStyle w:val="NoSpacing"/>
      </w:pPr>
    </w:p>
    <w:p w14:paraId="1D96CC3E" w14:textId="2DFA2934" w:rsidR="00BB3634" w:rsidRPr="00BB3634" w:rsidRDefault="00AA12DC" w:rsidP="000B18E5">
      <w:pPr>
        <w:pStyle w:val="NoSpacing"/>
      </w:pPr>
      <w:r>
        <w:lastRenderedPageBreak/>
        <w:t>T</w:t>
      </w:r>
      <w:r w:rsidRPr="00AA12DC">
        <w:t xml:space="preserve">he improper request for </w:t>
      </w:r>
      <w:r>
        <w:t>a passenger’s</w:t>
      </w:r>
      <w:r w:rsidRPr="00AA12DC">
        <w:t xml:space="preserve"> identification for a purpose unrelated to the </w:t>
      </w:r>
      <w:r w:rsidRPr="00AA12DC">
        <w:rPr>
          <w:i/>
        </w:rPr>
        <w:t>HTA</w:t>
      </w:r>
      <w:r w:rsidRPr="00AA12DC">
        <w:t> stop and investigation</w:t>
      </w:r>
      <w:r>
        <w:t xml:space="preserve"> (e.g., for running a CPIC check)</w:t>
      </w:r>
      <w:r w:rsidRPr="00AA12DC">
        <w:t xml:space="preserve"> will be a breach of s. 8 of the </w:t>
      </w:r>
      <w:r w:rsidRPr="00AA12DC">
        <w:rPr>
          <w:i/>
        </w:rPr>
        <w:t>Charter</w:t>
      </w:r>
      <w:r>
        <w:t xml:space="preserve">: </w:t>
      </w:r>
      <w:r>
        <w:rPr>
          <w:i/>
        </w:rPr>
        <w:t xml:space="preserve">R v Mhlongo, </w:t>
      </w:r>
      <w:r>
        <w:t>2017 ONCA 562 at para 31</w:t>
      </w:r>
    </w:p>
    <w:p w14:paraId="0D6FECD7" w14:textId="4589165B" w:rsidR="00D743FB" w:rsidRPr="00BB3634" w:rsidRDefault="00D743FB" w:rsidP="00BB3634">
      <w:pPr>
        <w:pStyle w:val="Heading2"/>
        <w:spacing w:line="276" w:lineRule="auto"/>
        <w:rPr>
          <w:rFonts w:cs="Arial"/>
        </w:rPr>
      </w:pPr>
      <w:bookmarkStart w:id="105" w:name="_Toc94360186"/>
      <w:r w:rsidRPr="00BB3634">
        <w:rPr>
          <w:rFonts w:cs="Arial"/>
        </w:rPr>
        <w:t>Border Detentions</w:t>
      </w:r>
      <w:bookmarkEnd w:id="105"/>
    </w:p>
    <w:p w14:paraId="768B2532" w14:textId="77777777" w:rsidR="00BB3634" w:rsidRDefault="00BB3634" w:rsidP="000B18E5">
      <w:pPr>
        <w:pStyle w:val="NoSpacing"/>
      </w:pPr>
    </w:p>
    <w:p w14:paraId="19DD9DEB" w14:textId="251EC9CE" w:rsidR="00D743FB" w:rsidRDefault="00D743FB" w:rsidP="000B18E5">
      <w:pPr>
        <w:pStyle w:val="NoSpacing"/>
      </w:pPr>
      <w:r w:rsidRPr="00BB3634">
        <w:t>Routine border searches do not result in a detention and therefore do not give rise to any right to counsel or the right to remain silent: </w:t>
      </w:r>
      <w:r w:rsidRPr="00BB3634">
        <w:rPr>
          <w:i/>
        </w:rPr>
        <w:t>R v. Jackman, </w:t>
      </w:r>
      <w:hyperlink r:id="rId279" w:tgtFrame="_blank" w:history="1">
        <w:r w:rsidRPr="00BB3634">
          <w:rPr>
            <w:rStyle w:val="Hyperlink"/>
            <w:color w:val="auto"/>
          </w:rPr>
          <w:t>2016 ONCA 121</w:t>
        </w:r>
      </w:hyperlink>
      <w:r w:rsidRPr="00BB3634">
        <w:t> at para 33; </w:t>
      </w:r>
      <w:r w:rsidRPr="00BB3634">
        <w:rPr>
          <w:i/>
        </w:rPr>
        <w:t>R v Sinclair, </w:t>
      </w:r>
      <w:hyperlink r:id="rId280" w:tgtFrame="_blank" w:history="1">
        <w:r w:rsidRPr="00BB3634">
          <w:rPr>
            <w:rStyle w:val="Hyperlink"/>
            <w:color w:val="auto"/>
          </w:rPr>
          <w:t>2017 ONCA 287</w:t>
        </w:r>
      </w:hyperlink>
      <w:r w:rsidRPr="00BB3634">
        <w:t> at para 6</w:t>
      </w:r>
    </w:p>
    <w:p w14:paraId="2930AE64" w14:textId="4B9F01E7" w:rsidR="00D82FB9" w:rsidRPr="00D82FB9" w:rsidRDefault="00D82FB9" w:rsidP="00D82FB9">
      <w:pPr>
        <w:pStyle w:val="NoSpacing"/>
      </w:pPr>
    </w:p>
    <w:p w14:paraId="15C5BC5C" w14:textId="77777777" w:rsidR="00D82FB9" w:rsidRPr="00D82FB9" w:rsidRDefault="00D82FB9" w:rsidP="00D82FB9">
      <w:pPr>
        <w:pStyle w:val="NoSpacing"/>
      </w:pPr>
      <w:r w:rsidRPr="00D82FB9">
        <w:t>In the context of a traveller crossing the border, there are two alternative ways of identifying when the line has been crossed and a detention will occur.</w:t>
      </w:r>
    </w:p>
    <w:p w14:paraId="503DC7A9" w14:textId="77777777" w:rsidR="00D82FB9" w:rsidRDefault="00D82FB9" w:rsidP="00D82FB9">
      <w:pPr>
        <w:pStyle w:val="NoSpacing"/>
      </w:pPr>
    </w:p>
    <w:p w14:paraId="5DD7DAF4" w14:textId="7F9D4A71" w:rsidR="00D82FB9" w:rsidRPr="00D82FB9" w:rsidRDefault="00D82FB9" w:rsidP="00D82FB9">
      <w:pPr>
        <w:pStyle w:val="NoSpacing"/>
      </w:pPr>
      <w:r w:rsidRPr="00D82FB9">
        <w:t>The first approach is the “intrusiveness test.” When the questioning and searches become less routine and more intrusive, the person is detained and that individual’s s. 7, 8 and 10(b) Charter rights are engaged.</w:t>
      </w:r>
    </w:p>
    <w:p w14:paraId="2E18D103" w14:textId="4FBC1A60" w:rsidR="00D82FB9" w:rsidRPr="00D82FB9" w:rsidRDefault="00D82FB9" w:rsidP="00D82FB9">
      <w:pPr>
        <w:pStyle w:val="NoSpacing"/>
      </w:pPr>
      <w:r w:rsidRPr="00D82FB9">
        <w:t>The line between detention and routine investigation is not always bright. It must be appreciated that given the importance of border security, a robust concept of permissible routine forms of inspection operates. For example, the use of x-rays and ion scans capable of detecting drugs are routine forms of inspection. So, too, is questioning related to the contents of luggage, or the provenance of those contents 3. Similarly, questions intended to expose possible contraband or immigration issues, including questions about marital or employment status, income, or the purpose of a trip, or questions intended to probe the credibility of the answers a traveller has provided, are routine</w:t>
      </w:r>
      <w:r>
        <w:t xml:space="preserve">: </w:t>
      </w:r>
      <w:r>
        <w:rPr>
          <w:i/>
          <w:iCs w:val="0"/>
        </w:rPr>
        <w:t xml:space="preserve">R v Ceballo, </w:t>
      </w:r>
      <w:hyperlink r:id="rId281" w:anchor="_ftn2" w:history="1">
        <w:r w:rsidRPr="00D82FB9">
          <w:rPr>
            <w:rStyle w:val="Hyperlink"/>
          </w:rPr>
          <w:t>2021 ONCA 791</w:t>
        </w:r>
      </w:hyperlink>
      <w:r>
        <w:t>, at paras 19-21</w:t>
      </w:r>
    </w:p>
    <w:p w14:paraId="61279982" w14:textId="47390B09" w:rsidR="00D82FB9" w:rsidRDefault="00D82FB9" w:rsidP="000B18E5">
      <w:pPr>
        <w:pStyle w:val="NoSpacing"/>
      </w:pPr>
    </w:p>
    <w:p w14:paraId="0CEB8D35" w14:textId="7527C0CF" w:rsidR="00D82FB9" w:rsidRDefault="00D82FB9" w:rsidP="00D82FB9">
      <w:pPr>
        <w:pStyle w:val="NoSpacing"/>
      </w:pPr>
      <w:r w:rsidRPr="00D82FB9">
        <w:t xml:space="preserve">For example, searches conducted pursuant to s. 98 of the Customs Act, including strip searches, body cavity searches, and “bedpan vigils”, are intrusive and will trigger a finding of detention. Questions can cross the line and become intrusive when they amount to a coercive or adversarial interrogation, contain improper inducements, or exert unfair pressure:  </w:t>
      </w:r>
      <w:r>
        <w:rPr>
          <w:i/>
          <w:iCs w:val="0"/>
        </w:rPr>
        <w:t xml:space="preserve">R v Ceballo, </w:t>
      </w:r>
      <w:hyperlink r:id="rId282" w:anchor="_ftn2" w:history="1">
        <w:r w:rsidRPr="00D82FB9">
          <w:rPr>
            <w:rStyle w:val="Hyperlink"/>
          </w:rPr>
          <w:t>2021 ONCA 791</w:t>
        </w:r>
      </w:hyperlink>
      <w:r>
        <w:t>, at para 22</w:t>
      </w:r>
    </w:p>
    <w:p w14:paraId="111CB25F" w14:textId="14F3B304" w:rsidR="00D82FB9" w:rsidRDefault="00D82FB9" w:rsidP="00D82FB9">
      <w:pPr>
        <w:pStyle w:val="NoSpacing"/>
      </w:pPr>
    </w:p>
    <w:p w14:paraId="56696500" w14:textId="40D152E5" w:rsidR="00D82FB9" w:rsidRDefault="00D82FB9" w:rsidP="00D82FB9">
      <w:pPr>
        <w:pStyle w:val="NoSpacing"/>
      </w:pPr>
      <w:r>
        <w:t xml:space="preserve">The second method for determining whether a detention has arisen involves an analysis of </w:t>
      </w:r>
      <w:r w:rsidRPr="00BB3634">
        <w:t xml:space="preserve">whether the border officer has decided, because of some sufficiently strong particularized suspicion, to go beyond routine questioning of a person and to engage in a more intrusive form of inquiry”. Where the officer has made that decision, the individual may be detained, even when subject to that routine </w:t>
      </w:r>
      <w:r w:rsidRPr="00BB3634">
        <w:lastRenderedPageBreak/>
        <w:t>questioning: see </w:t>
      </w:r>
      <w:r w:rsidRPr="00BB3634">
        <w:rPr>
          <w:i/>
        </w:rPr>
        <w:t>R. v. Jones</w:t>
      </w:r>
      <w:r w:rsidRPr="00BB3634">
        <w:t xml:space="preserve"> (2006), 81 OR (3d) 481 (CA), at para. 42; see also </w:t>
      </w:r>
      <w:r w:rsidRPr="00BB3634">
        <w:rPr>
          <w:i/>
        </w:rPr>
        <w:t xml:space="preserve">R v Peters, </w:t>
      </w:r>
      <w:hyperlink r:id="rId283" w:history="1">
        <w:r w:rsidRPr="00BB3634">
          <w:rPr>
            <w:rStyle w:val="Hyperlink"/>
          </w:rPr>
          <w:t>2018 ONCA 493</w:t>
        </w:r>
      </w:hyperlink>
      <w:r w:rsidRPr="00BB3634">
        <w:t xml:space="preserve"> at para 8</w:t>
      </w:r>
      <w:r>
        <w:t xml:space="preserve">; </w:t>
      </w:r>
      <w:r>
        <w:rPr>
          <w:i/>
          <w:iCs w:val="0"/>
        </w:rPr>
        <w:t xml:space="preserve">R v Ceballo, </w:t>
      </w:r>
      <w:hyperlink r:id="rId284" w:anchor="_ftn2" w:history="1">
        <w:r w:rsidRPr="00D82FB9">
          <w:rPr>
            <w:rStyle w:val="Hyperlink"/>
          </w:rPr>
          <w:t>2021 ONCA 791</w:t>
        </w:r>
      </w:hyperlink>
      <w:r>
        <w:t>, at para 23</w:t>
      </w:r>
    </w:p>
    <w:p w14:paraId="6600017B" w14:textId="01E2D071" w:rsidR="00D743FB" w:rsidRDefault="00D743FB" w:rsidP="000B18E5">
      <w:pPr>
        <w:pStyle w:val="NoSpacing"/>
      </w:pPr>
    </w:p>
    <w:p w14:paraId="01083EFE" w14:textId="29CDD1B3" w:rsidR="0096506F" w:rsidRPr="0096506F" w:rsidRDefault="0096506F" w:rsidP="0096506F">
      <w:pPr>
        <w:pStyle w:val="NoSpacing"/>
      </w:pPr>
      <w:r w:rsidRPr="0096506F">
        <w:t>It may be that for a detention to occur, another step is required. Namely, in addition to having a sufficiently strong particularized suspicion, and a subjective decision to engage in an intrusive investigation or detain the subject, the border services officer may have to engage in some action that makes that intention known to the traveller. There is also authority</w:t>
      </w:r>
      <w:r>
        <w:t xml:space="preserve"> </w:t>
      </w:r>
      <w:r w:rsidRPr="0096506F">
        <w:t>to support the need for some act by the border services agent that indicates their intention to engage in more intrusive investigation or to detain the subject</w:t>
      </w:r>
      <w:r>
        <w:t xml:space="preserve">: </w:t>
      </w:r>
      <w:r>
        <w:rPr>
          <w:i/>
          <w:iCs w:val="0"/>
        </w:rPr>
        <w:t xml:space="preserve">Ceballo </w:t>
      </w:r>
      <w:r>
        <w:t>at para 26</w:t>
      </w:r>
    </w:p>
    <w:p w14:paraId="756340E9" w14:textId="77777777" w:rsidR="0096506F" w:rsidRPr="00BB3634" w:rsidRDefault="0096506F" w:rsidP="000B18E5">
      <w:pPr>
        <w:pStyle w:val="NoSpacing"/>
      </w:pPr>
    </w:p>
    <w:p w14:paraId="6CA6A655" w14:textId="628C33C6" w:rsidR="00D35744" w:rsidRPr="00BB3634" w:rsidRDefault="00D35744" w:rsidP="000B18E5">
      <w:pPr>
        <w:pStyle w:val="NoSpacing"/>
      </w:pPr>
      <w:r w:rsidRPr="00BB3634">
        <w:t xml:space="preserve">The trial judge must assess the objective reasonableness of the border officer’s subjective belief, through the lens of a reasonable person standing in the shoes of the [border] officer: </w:t>
      </w:r>
      <w:r w:rsidRPr="00BB3634">
        <w:rPr>
          <w:i/>
        </w:rPr>
        <w:t xml:space="preserve">Peters </w:t>
      </w:r>
      <w:r w:rsidRPr="00BB3634">
        <w:t>at para 9</w:t>
      </w:r>
    </w:p>
    <w:p w14:paraId="4978C72A" w14:textId="77777777" w:rsidR="00D35744" w:rsidRPr="00BB3634" w:rsidRDefault="00D35744" w:rsidP="000B18E5">
      <w:pPr>
        <w:pStyle w:val="NoSpacing"/>
      </w:pPr>
    </w:p>
    <w:p w14:paraId="2945C5F8" w14:textId="77777777" w:rsidR="00D743FB" w:rsidRPr="00BB3634" w:rsidRDefault="00D743FB" w:rsidP="000B18E5">
      <w:pPr>
        <w:pStyle w:val="NoSpacing"/>
      </w:pPr>
      <w:r w:rsidRPr="00BB3634">
        <w:t>Where, following a routine sniffer dog search at the border, a sniffer dog alert arises, this alert, standing alone, does not necessarily give rise to such a particularized level of suspicion that the accused's case ceases to be routine: </w:t>
      </w:r>
      <w:r w:rsidRPr="00BB3634">
        <w:rPr>
          <w:i/>
        </w:rPr>
        <w:t>R v. Jackman, </w:t>
      </w:r>
      <w:hyperlink r:id="rId285" w:tgtFrame="_blank" w:history="1">
        <w:r w:rsidRPr="00BB3634">
          <w:rPr>
            <w:rStyle w:val="Hyperlink"/>
            <w:color w:val="auto"/>
          </w:rPr>
          <w:t>2016 ONCA 121</w:t>
        </w:r>
      </w:hyperlink>
      <w:r w:rsidRPr="00BB3634">
        <w:t> at para 33; </w:t>
      </w:r>
      <w:r w:rsidRPr="00BB3634">
        <w:rPr>
          <w:i/>
        </w:rPr>
        <w:t>Sinclair </w:t>
      </w:r>
      <w:r w:rsidRPr="00BB3634">
        <w:t>at para 7</w:t>
      </w:r>
    </w:p>
    <w:p w14:paraId="72757022" w14:textId="77777777" w:rsidR="000E0324" w:rsidRPr="00BB3634" w:rsidRDefault="000E0324" w:rsidP="000B18E5">
      <w:pPr>
        <w:pStyle w:val="NoSpacing"/>
      </w:pPr>
    </w:p>
    <w:p w14:paraId="3E607134" w14:textId="31B5337B" w:rsidR="000E0324" w:rsidRPr="00BB3634" w:rsidRDefault="000E0324" w:rsidP="000B18E5">
      <w:pPr>
        <w:pStyle w:val="NoSpacing"/>
      </w:pPr>
      <w:r w:rsidRPr="00BB3634">
        <w:t xml:space="preserve">In </w:t>
      </w:r>
      <w:r w:rsidRPr="00BB3634">
        <w:rPr>
          <w:i/>
        </w:rPr>
        <w:t xml:space="preserve">Peters, </w:t>
      </w:r>
      <w:r w:rsidRPr="00BB3634">
        <w:t>the Court of Appeal found that the trial judge was entitled to rely on the officer’s testimony that in his experience, X-ray anomalies in food products often yield innocent results and so, at the point of the X-ray, the level of particularized suspicion did not lead to questioning beyond what was routine.</w:t>
      </w:r>
    </w:p>
    <w:p w14:paraId="372B6CD0" w14:textId="77777777" w:rsidR="00C21B3B" w:rsidRPr="00BB3634" w:rsidRDefault="00C21B3B" w:rsidP="000B18E5">
      <w:pPr>
        <w:pStyle w:val="NoSpacing"/>
      </w:pPr>
    </w:p>
    <w:p w14:paraId="21D93F41" w14:textId="11DCFBA9" w:rsidR="005C0227" w:rsidRPr="00BB3634" w:rsidRDefault="005C0227" w:rsidP="00BB3634">
      <w:pPr>
        <w:pStyle w:val="Heading2"/>
        <w:spacing w:line="276" w:lineRule="auto"/>
        <w:rPr>
          <w:rFonts w:cs="Arial"/>
        </w:rPr>
      </w:pPr>
      <w:bookmarkStart w:id="106" w:name="_Toc94360187"/>
      <w:r w:rsidRPr="00BB3634">
        <w:rPr>
          <w:rFonts w:cs="Arial"/>
        </w:rPr>
        <w:t>Standard of Review</w:t>
      </w:r>
      <w:bookmarkEnd w:id="106"/>
    </w:p>
    <w:p w14:paraId="265C639A" w14:textId="7E34DA0F" w:rsidR="005C0227" w:rsidRPr="00BB3634" w:rsidRDefault="005C0227" w:rsidP="000B18E5">
      <w:pPr>
        <w:pStyle w:val="NoSpacing"/>
      </w:pPr>
      <w:r w:rsidRPr="00BB3634">
        <w:t>The trial judge’s factual findings are entitled to deference. Whether the factual findings of the trial judge amount at law to reasonable and probable grounds is a question of law and is reviewed on a standard of correctness: </w:t>
      </w:r>
      <w:r w:rsidRPr="00BB3634">
        <w:rPr>
          <w:i/>
        </w:rPr>
        <w:t>R v Dhillion, </w:t>
      </w:r>
      <w:hyperlink r:id="rId286" w:tgtFrame="_blank" w:history="1">
        <w:r w:rsidRPr="00BB3634">
          <w:rPr>
            <w:rStyle w:val="Hyperlink"/>
            <w:color w:val="auto"/>
          </w:rPr>
          <w:t>2016 ONCA 308</w:t>
        </w:r>
      </w:hyperlink>
      <w:r w:rsidRPr="00BB3634">
        <w:t> at para 22</w:t>
      </w:r>
      <w:r w:rsidR="00CA1373" w:rsidRPr="00BB3634">
        <w:t xml:space="preserve">; </w:t>
      </w:r>
      <w:r w:rsidR="00CA1373" w:rsidRPr="00BB3634">
        <w:rPr>
          <w:i/>
        </w:rPr>
        <w:t xml:space="preserve">R v Le, </w:t>
      </w:r>
      <w:r w:rsidR="00CA1373" w:rsidRPr="00BB3634">
        <w:t>2019 SCC 34, at paras 23, 29, 66</w:t>
      </w:r>
    </w:p>
    <w:p w14:paraId="0937197B" w14:textId="77777777" w:rsidR="005C0227" w:rsidRPr="00BB3634" w:rsidRDefault="005C0227" w:rsidP="00BB3634">
      <w:pPr>
        <w:spacing w:before="100" w:beforeAutospacing="1" w:after="100" w:afterAutospacing="1" w:line="276" w:lineRule="auto"/>
        <w:jc w:val="both"/>
        <w:rPr>
          <w:rFonts w:ascii="Arial" w:hAnsi="Arial" w:cs="Arial"/>
        </w:rPr>
      </w:pPr>
    </w:p>
    <w:p w14:paraId="257BF50E" w14:textId="42B672A5" w:rsidR="0075676A" w:rsidRPr="00BB3634" w:rsidRDefault="009C2A75" w:rsidP="00BB3634">
      <w:pPr>
        <w:pStyle w:val="Heading1"/>
        <w:spacing w:line="276" w:lineRule="auto"/>
        <w:rPr>
          <w:sz w:val="24"/>
          <w:szCs w:val="24"/>
        </w:rPr>
      </w:pPr>
      <w:bookmarkStart w:id="107" w:name="_Toc94360188"/>
      <w:r w:rsidRPr="00BB3634">
        <w:rPr>
          <w:sz w:val="24"/>
          <w:szCs w:val="24"/>
        </w:rPr>
        <w:t>SECTION 10(A)</w:t>
      </w:r>
      <w:bookmarkEnd w:id="107"/>
    </w:p>
    <w:p w14:paraId="14F33B3F" w14:textId="5918201E" w:rsidR="00E81126" w:rsidRPr="00BB3634" w:rsidRDefault="00E81126" w:rsidP="000B18E5">
      <w:pPr>
        <w:pStyle w:val="NoSpacing"/>
      </w:pPr>
      <w:r w:rsidRPr="00BB3634">
        <w:t xml:space="preserve">Any person who has been detained or arrested has the right to be informed promptly and clearly of the reasons for the detention or arrest, pursuant to </w:t>
      </w:r>
      <w:r w:rsidRPr="00BB3634">
        <w:lastRenderedPageBreak/>
        <w:t xml:space="preserve">s.10(a). Section 10(a) extends to includes both temporal and substantive aspects. </w:t>
      </w:r>
    </w:p>
    <w:p w14:paraId="1ED23402" w14:textId="77777777" w:rsidR="003B3248" w:rsidRPr="00BB3634" w:rsidRDefault="003B3248" w:rsidP="000B18E5">
      <w:pPr>
        <w:pStyle w:val="NoSpacing"/>
      </w:pPr>
    </w:p>
    <w:p w14:paraId="52349DED" w14:textId="21481AE3" w:rsidR="00E81126" w:rsidRPr="00BB3634" w:rsidRDefault="00E81126" w:rsidP="000B18E5">
      <w:pPr>
        <w:pStyle w:val="NoSpacing"/>
      </w:pPr>
      <w:r w:rsidRPr="00BB3634">
        <w:t>A functional equivalent of the term “promptly” in s. 10(a) is the phrase “without delay”, which appears in s. 10(b). There, the phrase is synonymous with “immediately”, but does permit delay on the basis of concerns for officer or public safety.</w:t>
      </w:r>
    </w:p>
    <w:p w14:paraId="0121FCDC" w14:textId="77777777" w:rsidR="003B3248" w:rsidRPr="00BB3634" w:rsidRDefault="003B3248" w:rsidP="000B18E5">
      <w:pPr>
        <w:pStyle w:val="NoSpacing"/>
      </w:pPr>
    </w:p>
    <w:p w14:paraId="479B7639" w14:textId="40C006B9" w:rsidR="00E81126" w:rsidRPr="00BB3634" w:rsidRDefault="00E81126" w:rsidP="000B18E5">
      <w:pPr>
        <w:pStyle w:val="NoSpacing"/>
      </w:pPr>
      <w:r w:rsidRPr="00BB3634">
        <w:t>The right to prompt advice of the reasons for detention is rooted in the notion that a person is not required to submit to an arrest if the person does not know the reasons for it. But there is another aspect of the right guaranteed by s. 10(a). And that is its role as an adjunct to the right to counsel conferred by s. 10(b) of the </w:t>
      </w:r>
      <w:r w:rsidRPr="00BB3634">
        <w:rPr>
          <w:i/>
        </w:rPr>
        <w:t>Charter</w:t>
      </w:r>
      <w:r w:rsidRPr="00BB3634">
        <w:t>. Meaningful exercise of the right to counsel can only occur when a detainee knows the</w:t>
      </w:r>
      <w:r w:rsidR="003B3248" w:rsidRPr="00BB3634">
        <w:t xml:space="preserve"> extent of his or her jeopardy.</w:t>
      </w:r>
    </w:p>
    <w:p w14:paraId="3FEE6FE1" w14:textId="77777777" w:rsidR="003B3248" w:rsidRPr="00BB3634" w:rsidRDefault="003B3248" w:rsidP="000B18E5">
      <w:pPr>
        <w:pStyle w:val="NoSpacing"/>
      </w:pPr>
    </w:p>
    <w:p w14:paraId="019435DD" w14:textId="6A576C3C" w:rsidR="00E81126" w:rsidRPr="00BB3634" w:rsidRDefault="00E81126" w:rsidP="000B18E5">
      <w:pPr>
        <w:pStyle w:val="NoSpacing"/>
      </w:pPr>
      <w:r w:rsidRPr="00BB3634">
        <w:t>To determine whether a breach of s. 10(a) has occurred, substance controls, not form. It is the substance of what an accused can reasonably be supposed to have understood, not the formalism of the precise words used that must govern. The issue is whether what the accused was told, viewed reasonably in all the circumstances, was sufficient to permit him to make a reasonable decision to decline or submit to arrest, or in the alternative, to undermine the right to counsel under s. 10(b): </w:t>
      </w:r>
      <w:r w:rsidR="003B3248" w:rsidRPr="00BB3634">
        <w:rPr>
          <w:i/>
        </w:rPr>
        <w:t xml:space="preserve">R v Gonzales, </w:t>
      </w:r>
      <w:hyperlink r:id="rId287" w:history="1">
        <w:r w:rsidR="003B3248" w:rsidRPr="00BB3634">
          <w:rPr>
            <w:rStyle w:val="Hyperlink"/>
          </w:rPr>
          <w:t>2017 ONCA 543</w:t>
        </w:r>
      </w:hyperlink>
      <w:r w:rsidR="003B3248" w:rsidRPr="00BB3634">
        <w:t xml:space="preserve"> at paras 122-125</w:t>
      </w:r>
      <w:r w:rsidR="00443216" w:rsidRPr="00BB3634">
        <w:t xml:space="preserve">; </w:t>
      </w:r>
      <w:r w:rsidR="00443216" w:rsidRPr="00BB3634">
        <w:rPr>
          <w:i/>
        </w:rPr>
        <w:t xml:space="preserve">R v Sabir, </w:t>
      </w:r>
      <w:hyperlink r:id="rId288" w:history="1">
        <w:r w:rsidR="00443216" w:rsidRPr="00BB3634">
          <w:rPr>
            <w:rStyle w:val="Hyperlink"/>
          </w:rPr>
          <w:t>2018 ONCA 912</w:t>
        </w:r>
      </w:hyperlink>
      <w:r w:rsidR="00443216" w:rsidRPr="00BB3634">
        <w:t>, at para 33</w:t>
      </w:r>
    </w:p>
    <w:p w14:paraId="7B8A3FA5" w14:textId="77777777" w:rsidR="00B85341" w:rsidRPr="00BB3634" w:rsidRDefault="00B85341" w:rsidP="000B18E5">
      <w:pPr>
        <w:pStyle w:val="NoSpacing"/>
      </w:pPr>
    </w:p>
    <w:p w14:paraId="44AC366E" w14:textId="09DC21DD" w:rsidR="00B85341" w:rsidRPr="00BB3634" w:rsidRDefault="00B85341" w:rsidP="000B18E5">
      <w:pPr>
        <w:pStyle w:val="NoSpacing"/>
      </w:pPr>
      <w:r w:rsidRPr="00BB3634">
        <w:t> In other words, Section 10(a) does not require that detainees be told of the technical charges they may ultimately face. A person will be properly advised of the reason for their detention if they are given information that is sufficiently clear and simple to enable them to understand the reason for their detention and the extent of their jeopardy: </w:t>
      </w:r>
      <w:r w:rsidRPr="00BB3634">
        <w:rPr>
          <w:i/>
        </w:rPr>
        <w:t xml:space="preserve">R v Roberts, </w:t>
      </w:r>
      <w:hyperlink r:id="rId289" w:history="1">
        <w:r w:rsidRPr="00BB3634">
          <w:rPr>
            <w:rStyle w:val="Hyperlink"/>
          </w:rPr>
          <w:t>2018 ONCA 411</w:t>
        </w:r>
      </w:hyperlink>
      <w:r w:rsidRPr="00BB3634">
        <w:t xml:space="preserve"> at para 78</w:t>
      </w:r>
    </w:p>
    <w:p w14:paraId="5DBDEDB6" w14:textId="77777777" w:rsidR="00B85341" w:rsidRPr="00BB3634" w:rsidRDefault="00B85341" w:rsidP="000B18E5">
      <w:pPr>
        <w:pStyle w:val="NoSpacing"/>
      </w:pPr>
    </w:p>
    <w:p w14:paraId="5B0AC8A3" w14:textId="088CC6E6" w:rsidR="00B85341" w:rsidRPr="00BB3634" w:rsidRDefault="00B85341" w:rsidP="000B18E5">
      <w:pPr>
        <w:pStyle w:val="NoSpacing"/>
      </w:pPr>
      <w:r w:rsidRPr="00BB3634">
        <w:t>There are times when a police officer must go beyond disclosing the grounds for arrest. For example, in </w:t>
      </w:r>
      <w:r w:rsidRPr="00BB3634">
        <w:rPr>
          <w:i/>
        </w:rPr>
        <w:t>R. v. Carter</w:t>
      </w:r>
      <w:r w:rsidRPr="00BB3634">
        <w:t xml:space="preserve">, 2012 ONSC 94, Mr. Carter, arrested for drug offences, was suspected of committing a murder. While under arrest, Mr. Carter was interviewed about the murder. The court held that s. 10(a) was breached because he was not told what he was really being questioned about: </w:t>
      </w:r>
      <w:r w:rsidRPr="00BB3634">
        <w:rPr>
          <w:i/>
        </w:rPr>
        <w:t xml:space="preserve">approved </w:t>
      </w:r>
      <w:r w:rsidRPr="00BB3634">
        <w:t xml:space="preserve">in </w:t>
      </w:r>
      <w:r w:rsidRPr="00BB3634">
        <w:rPr>
          <w:i/>
        </w:rPr>
        <w:t xml:space="preserve">R v Roberts, </w:t>
      </w:r>
      <w:hyperlink r:id="rId290" w:history="1">
        <w:r w:rsidRPr="00BB3634">
          <w:rPr>
            <w:rStyle w:val="Hyperlink"/>
          </w:rPr>
          <w:t>2018 ONCA 411</w:t>
        </w:r>
      </w:hyperlink>
      <w:r w:rsidRPr="00BB3634">
        <w:t xml:space="preserve"> at para 75</w:t>
      </w:r>
    </w:p>
    <w:p w14:paraId="47C004EF" w14:textId="77777777" w:rsidR="00B85341" w:rsidRPr="00BB3634" w:rsidRDefault="00B85341" w:rsidP="00BB3634">
      <w:pPr>
        <w:spacing w:line="276" w:lineRule="auto"/>
        <w:rPr>
          <w:rFonts w:ascii="Arial" w:hAnsi="Arial" w:cs="Arial"/>
        </w:rPr>
      </w:pPr>
    </w:p>
    <w:p w14:paraId="309B3BCF" w14:textId="41DCD8E1" w:rsidR="00B85341" w:rsidRPr="00BB3634" w:rsidRDefault="00B85341" w:rsidP="000B18E5">
      <w:pPr>
        <w:pStyle w:val="NoSpacing"/>
      </w:pPr>
      <w:r w:rsidRPr="00BB3634">
        <w:t xml:space="preserve">Quite simply, if the police wants to use a person detained for one offence as a source of self-incriminating information relating to a different offence – including an aggravated form of the offence for which they have been detained – the police </w:t>
      </w:r>
      <w:r w:rsidRPr="00BB3634">
        <w:lastRenderedPageBreak/>
        <w:t xml:space="preserve">must tell the detainee this before proceeding. Indeed, they must tell the arrested detainee what they are being investigated for before they have been given their right to counsel: </w:t>
      </w:r>
      <w:r w:rsidRPr="00BB3634">
        <w:rPr>
          <w:i/>
        </w:rPr>
        <w:t xml:space="preserve">R v Roberts </w:t>
      </w:r>
      <w:r w:rsidRPr="00BB3634">
        <w:t>at para 76</w:t>
      </w:r>
    </w:p>
    <w:p w14:paraId="4491EC64" w14:textId="77777777" w:rsidR="00B85341" w:rsidRPr="00BB3634" w:rsidRDefault="00B85341" w:rsidP="000B18E5">
      <w:pPr>
        <w:pStyle w:val="NoSpacing"/>
      </w:pPr>
    </w:p>
    <w:p w14:paraId="293D5C9C" w14:textId="6507202B" w:rsidR="00683719" w:rsidRPr="00BB3634" w:rsidRDefault="00683719" w:rsidP="000B18E5">
      <w:pPr>
        <w:pStyle w:val="NoSpacing"/>
      </w:pPr>
      <w:r w:rsidRPr="00BB3634">
        <w:t>Satisfaction of the informational duty may be complicated in certain cases where the detainee positively indicates a failure to understand his or her rights to counsel. In such cases, the police cannot rely on a mechanical recitation of those rights; they must make a reasonable effort to explain those rights to the detainee: </w:t>
      </w:r>
      <w:r w:rsidRPr="00BB3634">
        <w:rPr>
          <w:i/>
        </w:rPr>
        <w:t xml:space="preserve">R v Culotta, </w:t>
      </w:r>
      <w:hyperlink r:id="rId291" w:history="1">
        <w:r w:rsidRPr="00BB3634">
          <w:rPr>
            <w:rStyle w:val="Hyperlink"/>
          </w:rPr>
          <w:t xml:space="preserve">2018 ONCA </w:t>
        </w:r>
        <w:r w:rsidR="00A55D62" w:rsidRPr="00BB3634">
          <w:rPr>
            <w:rStyle w:val="Hyperlink"/>
          </w:rPr>
          <w:t>665</w:t>
        </w:r>
      </w:hyperlink>
      <w:r w:rsidR="00A55D62" w:rsidRPr="00BB3634">
        <w:t xml:space="preserve"> at para 29</w:t>
      </w:r>
    </w:p>
    <w:p w14:paraId="7BA9D0A1" w14:textId="77777777" w:rsidR="00E81126" w:rsidRPr="00BB3634" w:rsidRDefault="00E81126" w:rsidP="00BB3634">
      <w:pPr>
        <w:spacing w:line="276" w:lineRule="auto"/>
        <w:rPr>
          <w:rFonts w:ascii="Arial" w:hAnsi="Arial" w:cs="Arial"/>
        </w:rPr>
      </w:pPr>
    </w:p>
    <w:p w14:paraId="4ACA8BBE" w14:textId="78DAEF6F" w:rsidR="00D743FB" w:rsidRPr="00BB3634" w:rsidRDefault="009C2A75" w:rsidP="00BB3634">
      <w:pPr>
        <w:pStyle w:val="Heading1"/>
        <w:spacing w:line="276" w:lineRule="auto"/>
        <w:rPr>
          <w:sz w:val="24"/>
          <w:szCs w:val="24"/>
        </w:rPr>
      </w:pPr>
      <w:bookmarkStart w:id="108" w:name="_Toc94360189"/>
      <w:r w:rsidRPr="00BB3634">
        <w:rPr>
          <w:sz w:val="24"/>
          <w:szCs w:val="24"/>
        </w:rPr>
        <w:t>SECTION 10(B)</w:t>
      </w:r>
      <w:bookmarkEnd w:id="108"/>
    </w:p>
    <w:p w14:paraId="575FCF2A" w14:textId="2AECBA0E" w:rsidR="00D743FB" w:rsidRPr="00BB3634" w:rsidRDefault="00D743FB" w:rsidP="00BB3634">
      <w:pPr>
        <w:pStyle w:val="Heading2"/>
        <w:numPr>
          <w:ilvl w:val="0"/>
          <w:numId w:val="3"/>
        </w:numPr>
        <w:spacing w:line="276" w:lineRule="auto"/>
        <w:ind w:left="360"/>
        <w:rPr>
          <w:rFonts w:cs="Arial"/>
        </w:rPr>
      </w:pPr>
      <w:bookmarkStart w:id="109" w:name="_Toc94360190"/>
      <w:r w:rsidRPr="00BB3634">
        <w:rPr>
          <w:rFonts w:cs="Arial"/>
        </w:rPr>
        <w:t>General Principles</w:t>
      </w:r>
      <w:bookmarkEnd w:id="109"/>
    </w:p>
    <w:p w14:paraId="10FC9855" w14:textId="212DCBAC" w:rsidR="00D743FB" w:rsidRPr="00BB3634" w:rsidRDefault="00D743FB" w:rsidP="000B18E5">
      <w:pPr>
        <w:pStyle w:val="NoSpacing"/>
      </w:pPr>
    </w:p>
    <w:p w14:paraId="456CB59E" w14:textId="02BFDE99" w:rsidR="00D743FB" w:rsidRPr="00BB3634" w:rsidRDefault="00D743FB" w:rsidP="000B18E5">
      <w:pPr>
        <w:pStyle w:val="NoSpacing"/>
      </w:pPr>
      <w:r w:rsidRPr="00BB3634">
        <w:t>Section 10(b) creates the right to retain and instruct counsel without delay, and the right to be informed of that right without delay. </w:t>
      </w:r>
    </w:p>
    <w:p w14:paraId="15CB5453" w14:textId="346EA53C" w:rsidR="00214568" w:rsidRPr="00BB3634" w:rsidRDefault="00214568" w:rsidP="000B18E5">
      <w:pPr>
        <w:pStyle w:val="NoSpacing"/>
      </w:pPr>
    </w:p>
    <w:p w14:paraId="13C5B84E" w14:textId="4A3AF6F9" w:rsidR="00214568" w:rsidRDefault="00214568" w:rsidP="000B18E5">
      <w:pPr>
        <w:pStyle w:val="NoSpacing"/>
      </w:pPr>
      <w:r w:rsidRPr="00BB3634">
        <w:t>The right exists because those who are arrested or detained are apt to require </w:t>
      </w:r>
      <w:r w:rsidRPr="00BB3634">
        <w:rPr>
          <w:u w:val="single"/>
        </w:rPr>
        <w:t>immediate</w:t>
      </w:r>
      <w:r w:rsidRPr="00BB3634">
        <w:t xml:space="preserve"> legal advice that they cannot access without help, because of their detention. Such advice can be useful in preventing an unjustified search, in advising detainee’s of their rights during detention, including the right against self-incrimination, in providing reassurance to an arrestee or detainee, and in advising them on what can be done to regain liberty: </w:t>
      </w:r>
      <w:r w:rsidRPr="00BB3634">
        <w:rPr>
          <w:i/>
        </w:rPr>
        <w:t xml:space="preserve">R v Noel, </w:t>
      </w:r>
      <w:hyperlink r:id="rId292" w:history="1">
        <w:r w:rsidRPr="00BB3634">
          <w:rPr>
            <w:rStyle w:val="Hyperlink"/>
          </w:rPr>
          <w:t>2019 ONCA 860</w:t>
        </w:r>
      </w:hyperlink>
      <w:r w:rsidRPr="00BB3634">
        <w:t>, at paras 23-26</w:t>
      </w:r>
    </w:p>
    <w:p w14:paraId="53219AE1" w14:textId="4B3F7D35" w:rsidR="008F1F58" w:rsidRDefault="008F1F58" w:rsidP="000B18E5">
      <w:pPr>
        <w:pStyle w:val="NoSpacing"/>
      </w:pPr>
    </w:p>
    <w:p w14:paraId="318C3A15" w14:textId="77C9BCBE" w:rsidR="008F1F58" w:rsidRPr="008F1F58" w:rsidRDefault="008F1F58" w:rsidP="000B18E5">
      <w:pPr>
        <w:pStyle w:val="NoSpacing"/>
      </w:pPr>
      <w:r>
        <w:t>P</w:t>
      </w:r>
      <w:r w:rsidRPr="008F1F58">
        <w:t>olice are not obliged to caution a suspect simply because he or she is a suspect. Rather, s. 10(b) of the </w:t>
      </w:r>
      <w:r w:rsidRPr="008F1F58">
        <w:rPr>
          <w:i/>
        </w:rPr>
        <w:t>Charter</w:t>
      </w:r>
      <w:r w:rsidRPr="008F1F58">
        <w:t> is engaged at the time of arrest or detention</w:t>
      </w:r>
      <w:r>
        <w:t xml:space="preserve">: </w:t>
      </w:r>
      <w:r>
        <w:rPr>
          <w:i/>
        </w:rPr>
        <w:t xml:space="preserve">R v Al-Enzi, </w:t>
      </w:r>
      <w:hyperlink r:id="rId293" w:history="1">
        <w:r w:rsidRPr="008F1F58">
          <w:rPr>
            <w:rStyle w:val="Hyperlink"/>
          </w:rPr>
          <w:t>2021 ONCA 81</w:t>
        </w:r>
      </w:hyperlink>
      <w:r>
        <w:t>, at para 86</w:t>
      </w:r>
    </w:p>
    <w:p w14:paraId="5DB3416E" w14:textId="77777777" w:rsidR="008F1F58" w:rsidRPr="00BB3634" w:rsidRDefault="008F1F58" w:rsidP="000B18E5">
      <w:pPr>
        <w:pStyle w:val="NoSpacing"/>
      </w:pPr>
    </w:p>
    <w:p w14:paraId="768045D6" w14:textId="77777777" w:rsidR="00D743FB" w:rsidRPr="00BB3634" w:rsidRDefault="00D743FB" w:rsidP="000B18E5">
      <w:pPr>
        <w:pStyle w:val="NoSpacing"/>
        <w:rPr>
          <w:rStyle w:val="wixguard"/>
          <w:bCs w:val="0"/>
        </w:rPr>
      </w:pPr>
      <w:r w:rsidRPr="00BB3634">
        <w:rPr>
          <w:rStyle w:val="wixguard"/>
          <w:bCs w:val="0"/>
        </w:rPr>
        <w:t>​</w:t>
      </w:r>
    </w:p>
    <w:p w14:paraId="1C1A08E5" w14:textId="36EF06A4" w:rsidR="00293206" w:rsidRPr="00BB3634" w:rsidRDefault="00293206" w:rsidP="007A6720">
      <w:pPr>
        <w:pStyle w:val="Heading3"/>
        <w:numPr>
          <w:ilvl w:val="0"/>
          <w:numId w:val="35"/>
        </w:numPr>
        <w:rPr>
          <w:rStyle w:val="wixguard"/>
          <w:sz w:val="24"/>
          <w:szCs w:val="24"/>
        </w:rPr>
      </w:pPr>
      <w:bookmarkStart w:id="110" w:name="_Toc94360191"/>
      <w:r w:rsidRPr="00BB3634">
        <w:rPr>
          <w:rStyle w:val="wixguard"/>
          <w:sz w:val="24"/>
          <w:szCs w:val="24"/>
        </w:rPr>
        <w:t>The Informational Component</w:t>
      </w:r>
      <w:bookmarkEnd w:id="110"/>
      <w:r w:rsidRPr="00BB3634">
        <w:rPr>
          <w:rStyle w:val="wixguard"/>
          <w:sz w:val="24"/>
          <w:szCs w:val="24"/>
        </w:rPr>
        <w:t xml:space="preserve"> </w:t>
      </w:r>
    </w:p>
    <w:p w14:paraId="02545B9B" w14:textId="77777777" w:rsidR="000B18E5" w:rsidRDefault="000B18E5" w:rsidP="000B18E5">
      <w:pPr>
        <w:pStyle w:val="NoSpacing"/>
      </w:pPr>
    </w:p>
    <w:p w14:paraId="794B0194" w14:textId="77777777" w:rsidR="000B18E5" w:rsidRPr="00BB3634" w:rsidRDefault="000B18E5" w:rsidP="000B18E5">
      <w:pPr>
        <w:pStyle w:val="NoSpacing"/>
      </w:pPr>
      <w:r w:rsidRPr="00BB3634">
        <w:t>The rights created by s. 10(b) attach immediately upon detention, subject to legitimate concerns for officer or public safety: </w:t>
      </w:r>
      <w:r w:rsidRPr="00BB3634">
        <w:rPr>
          <w:i/>
        </w:rPr>
        <w:t>R v McGuffie, </w:t>
      </w:r>
      <w:hyperlink r:id="rId294" w:tgtFrame="_blank" w:history="1">
        <w:r w:rsidRPr="00BB3634">
          <w:rPr>
            <w:rStyle w:val="Hyperlink"/>
            <w:bCs w:val="0"/>
            <w:color w:val="auto"/>
          </w:rPr>
          <w:t>2016 ONCA 365</w:t>
        </w:r>
      </w:hyperlink>
      <w:r w:rsidRPr="00BB3634">
        <w:t> at paras 41-42</w:t>
      </w:r>
    </w:p>
    <w:p w14:paraId="06E6FBC6" w14:textId="77777777" w:rsidR="000B18E5" w:rsidRDefault="000B18E5" w:rsidP="000B18E5">
      <w:pPr>
        <w:pStyle w:val="NoSpacing"/>
      </w:pPr>
    </w:p>
    <w:p w14:paraId="7BDD7819" w14:textId="4D88746B" w:rsidR="00A55D62" w:rsidRPr="00BB3634" w:rsidRDefault="00A55D62" w:rsidP="000B18E5">
      <w:pPr>
        <w:pStyle w:val="NoSpacing"/>
        <w:rPr>
          <w:i/>
        </w:rPr>
      </w:pPr>
      <w:r w:rsidRPr="00BB3634">
        <w:t xml:space="preserve">Police do not have a duty to positively ensure that a detainee understands what the rights under s. 10(b) entail. Officers are only required to communicate those rights to the detainee. Absent special circumstances indicating that a detainee may not understand the s. 10(b) caution, such as language difficulties or a known or obvious mental disability, police are not required to assure themselves that a detainee fully understands the s. 10(b) caution: </w:t>
      </w:r>
      <w:r w:rsidRPr="00BB3634">
        <w:rPr>
          <w:i/>
        </w:rPr>
        <w:t xml:space="preserve">R v Culotta, </w:t>
      </w:r>
      <w:hyperlink r:id="rId295" w:history="1">
        <w:r w:rsidRPr="00BB3634">
          <w:rPr>
            <w:rStyle w:val="Hyperlink"/>
          </w:rPr>
          <w:t>2018 ONCA 665</w:t>
        </w:r>
      </w:hyperlink>
      <w:r w:rsidRPr="00BB3634">
        <w:t xml:space="preserve"> at para 38</w:t>
      </w:r>
    </w:p>
    <w:p w14:paraId="07A57277" w14:textId="77777777" w:rsidR="001928FC" w:rsidRPr="00BB3634" w:rsidRDefault="001928FC" w:rsidP="000B18E5">
      <w:pPr>
        <w:pStyle w:val="NoSpacing"/>
      </w:pPr>
    </w:p>
    <w:p w14:paraId="62B1BB78" w14:textId="77777777" w:rsidR="00D743FB" w:rsidRPr="00BB3634" w:rsidRDefault="00D743FB" w:rsidP="000B18E5">
      <w:pPr>
        <w:pStyle w:val="NoSpacing"/>
      </w:pPr>
      <w:r w:rsidRPr="00BB3634">
        <w:rPr>
          <w:rStyle w:val="wixguard"/>
          <w:bCs w:val="0"/>
        </w:rPr>
        <w:t>​</w:t>
      </w:r>
    </w:p>
    <w:p w14:paraId="0C0328C9" w14:textId="7BE3D040" w:rsidR="00FD2EDB" w:rsidRPr="00BB3634" w:rsidRDefault="00FD2EDB" w:rsidP="000B18E5">
      <w:pPr>
        <w:pStyle w:val="NoSpacing"/>
      </w:pPr>
      <w:r w:rsidRPr="00BB3634">
        <w:t xml:space="preserve">In </w:t>
      </w:r>
      <w:r w:rsidRPr="00BB3634">
        <w:rPr>
          <w:i/>
        </w:rPr>
        <w:t xml:space="preserve">R v Mian, </w:t>
      </w:r>
      <w:hyperlink r:id="rId296" w:history="1">
        <w:r w:rsidRPr="00BB3634">
          <w:rPr>
            <w:rStyle w:val="Hyperlink"/>
          </w:rPr>
          <w:t>2014 SCC 54</w:t>
        </w:r>
      </w:hyperlink>
      <w:r w:rsidRPr="00BB3634">
        <w:t>,</w:t>
      </w:r>
      <w:r w:rsidRPr="00BB3634">
        <w:rPr>
          <w:i/>
        </w:rPr>
        <w:t xml:space="preserve"> </w:t>
      </w:r>
      <w:r w:rsidRPr="00BB3634">
        <w:t xml:space="preserve">the Supreme Court of Canada upheld the trial judge’s finding that an unjustified 22-minute delay in complying with the informational duties under s.10(a) and (b) constituted a </w:t>
      </w:r>
      <w:r w:rsidRPr="00BB3634">
        <w:rPr>
          <w:i/>
        </w:rPr>
        <w:t xml:space="preserve">Charter </w:t>
      </w:r>
      <w:r w:rsidRPr="00BB3634">
        <w:t xml:space="preserve">breach. The court further upheld the trial judge’s decision excluding the evidence of cocaine found in the investigation under s.24(2). </w:t>
      </w:r>
    </w:p>
    <w:p w14:paraId="6EB758FF" w14:textId="77777777" w:rsidR="00FD2EDB" w:rsidRPr="00BB3634" w:rsidRDefault="00FD2EDB" w:rsidP="000B18E5">
      <w:pPr>
        <w:pStyle w:val="NoSpacing"/>
      </w:pPr>
    </w:p>
    <w:p w14:paraId="3B17D5AF" w14:textId="704052DA" w:rsidR="00D743FB" w:rsidRPr="00BB3634" w:rsidRDefault="00D743FB" w:rsidP="000B18E5">
      <w:pPr>
        <w:pStyle w:val="NoSpacing"/>
      </w:pPr>
      <w:r w:rsidRPr="00BB3634">
        <w:t>A police officer has an obligation under s.10(b) of the </w:t>
      </w:r>
      <w:r w:rsidRPr="00BB3634">
        <w:rPr>
          <w:i/>
        </w:rPr>
        <w:t>Charter</w:t>
      </w:r>
      <w:r w:rsidRPr="00BB3634">
        <w:t> to afford an accused person not only a reasonable opportunity to contact counsel of his choice but also to facilitate that contact: </w:t>
      </w:r>
      <w:r w:rsidRPr="00BB3634">
        <w:rPr>
          <w:i/>
        </w:rPr>
        <w:t>R v Vernon, </w:t>
      </w:r>
      <w:hyperlink r:id="rId297" w:tgtFrame="_blank" w:history="1">
        <w:r w:rsidRPr="00BB3634">
          <w:rPr>
            <w:rStyle w:val="Hyperlink"/>
            <w:color w:val="auto"/>
          </w:rPr>
          <w:t>2016 ONCA 211</w:t>
        </w:r>
      </w:hyperlink>
      <w:r w:rsidRPr="00BB3634">
        <w:t> at para 2 </w:t>
      </w:r>
    </w:p>
    <w:p w14:paraId="4DEDDA22" w14:textId="77777777" w:rsidR="00FD2EDB" w:rsidRPr="00BB3634" w:rsidRDefault="00FD2EDB" w:rsidP="000B18E5">
      <w:pPr>
        <w:pStyle w:val="NoSpacing"/>
      </w:pPr>
    </w:p>
    <w:p w14:paraId="0FFDC93A" w14:textId="56B32B5F" w:rsidR="007E7E79" w:rsidRPr="00BB3634" w:rsidRDefault="007E7E79" w:rsidP="000B18E5">
      <w:pPr>
        <w:pStyle w:val="NoSpacing"/>
      </w:pPr>
      <w:r w:rsidRPr="00BB3634">
        <w:t xml:space="preserve">Absent proof of circumstances indicating that the accused did not understand his right to retain counsel when he was informed of it, the onus has to be on him to prove that he asked for the right but it was denied or he was denied any opportunity to even ask for it”: </w:t>
      </w:r>
      <w:r w:rsidRPr="00BB3634">
        <w:rPr>
          <w:i/>
        </w:rPr>
        <w:t>R v Tyler</w:t>
      </w:r>
      <w:r w:rsidRPr="00BB3634">
        <w:t>, 2015 ONCA 599</w:t>
      </w:r>
    </w:p>
    <w:p w14:paraId="16C01812" w14:textId="6B22A6F5" w:rsidR="00E5067C" w:rsidRDefault="00E5067C" w:rsidP="000B18E5">
      <w:pPr>
        <w:pStyle w:val="NoSpacing"/>
      </w:pPr>
    </w:p>
    <w:p w14:paraId="69897A00" w14:textId="77777777" w:rsidR="00E34ED0" w:rsidRPr="00BB3634" w:rsidRDefault="00E34ED0" w:rsidP="00E34ED0">
      <w:pPr>
        <w:pStyle w:val="NoSpacing"/>
      </w:pPr>
      <w:r w:rsidRPr="00BB3634">
        <w:t>Satisfaction of the informational duty may be complicated in certain cases where the detainee positively indicates a failure to understand his or her rights to counsel. In such cases, the police cannot rely on a mechanical recitation of those rights; they must make a reasonable effort to explain those rights to the detainee: </w:t>
      </w:r>
      <w:r w:rsidRPr="00BB3634">
        <w:rPr>
          <w:i/>
        </w:rPr>
        <w:t xml:space="preserve">R v Culotta, </w:t>
      </w:r>
      <w:hyperlink r:id="rId298" w:history="1">
        <w:r w:rsidRPr="00BB3634">
          <w:rPr>
            <w:rStyle w:val="Hyperlink"/>
          </w:rPr>
          <w:t>2018 ONCA 665</w:t>
        </w:r>
      </w:hyperlink>
      <w:r w:rsidRPr="00BB3634">
        <w:t xml:space="preserve"> at para 29</w:t>
      </w:r>
    </w:p>
    <w:p w14:paraId="2B6C01B0" w14:textId="77777777" w:rsidR="00E34ED0" w:rsidRPr="00BB3634" w:rsidRDefault="00E34ED0" w:rsidP="000B18E5">
      <w:pPr>
        <w:pStyle w:val="NoSpacing"/>
      </w:pPr>
    </w:p>
    <w:p w14:paraId="6268214F" w14:textId="29682408" w:rsidR="00E5067C" w:rsidRPr="00BB3634" w:rsidRDefault="00293206" w:rsidP="007A6720">
      <w:pPr>
        <w:pStyle w:val="Heading3"/>
        <w:numPr>
          <w:ilvl w:val="0"/>
          <w:numId w:val="35"/>
        </w:numPr>
      </w:pPr>
      <w:bookmarkStart w:id="111" w:name="_Toc94360192"/>
      <w:r w:rsidRPr="00BB3634">
        <w:t xml:space="preserve">The </w:t>
      </w:r>
      <w:r w:rsidR="000B18E5">
        <w:rPr>
          <w:rStyle w:val="wixguard"/>
          <w:bCs/>
          <w:sz w:val="24"/>
          <w:szCs w:val="24"/>
        </w:rPr>
        <w:t>Implementational</w:t>
      </w:r>
      <w:r w:rsidRPr="00BB3634">
        <w:t xml:space="preserve"> Component</w:t>
      </w:r>
      <w:r w:rsidR="000B18E5">
        <w:t xml:space="preserve"> and the Duty to Hold Off</w:t>
      </w:r>
      <w:bookmarkEnd w:id="111"/>
    </w:p>
    <w:p w14:paraId="118990C9" w14:textId="746DE8C5" w:rsidR="00293206" w:rsidRDefault="00293206" w:rsidP="00BB3634">
      <w:pPr>
        <w:spacing w:line="276" w:lineRule="auto"/>
        <w:rPr>
          <w:rFonts w:ascii="Arial" w:hAnsi="Arial" w:cs="Arial"/>
        </w:rPr>
      </w:pPr>
    </w:p>
    <w:p w14:paraId="6E52C2BB" w14:textId="77777777" w:rsidR="000B18E5" w:rsidRPr="00BB3634" w:rsidRDefault="000B18E5" w:rsidP="000B18E5">
      <w:pPr>
        <w:pStyle w:val="NoSpacing"/>
      </w:pPr>
      <w:r w:rsidRPr="00BB3634">
        <w:t>The rights created by s. 10(b) attach immediately upon detention, subject to legitimate concerns for officer or public safety: </w:t>
      </w:r>
      <w:r w:rsidRPr="00BB3634">
        <w:rPr>
          <w:i/>
        </w:rPr>
        <w:t>R v McGuffie, </w:t>
      </w:r>
      <w:hyperlink r:id="rId299" w:tgtFrame="_blank" w:history="1">
        <w:r w:rsidRPr="00BB3634">
          <w:rPr>
            <w:rStyle w:val="Hyperlink"/>
            <w:bCs w:val="0"/>
            <w:color w:val="auto"/>
          </w:rPr>
          <w:t>2016 ONCA 365</w:t>
        </w:r>
      </w:hyperlink>
      <w:r w:rsidRPr="00BB3634">
        <w:t> at paras 41-42</w:t>
      </w:r>
    </w:p>
    <w:p w14:paraId="3787C30E" w14:textId="77777777" w:rsidR="000B18E5" w:rsidRPr="00BB3634" w:rsidRDefault="000B18E5" w:rsidP="00BB3634">
      <w:pPr>
        <w:spacing w:line="276" w:lineRule="auto"/>
        <w:rPr>
          <w:rFonts w:ascii="Arial" w:hAnsi="Arial" w:cs="Arial"/>
        </w:rPr>
      </w:pPr>
    </w:p>
    <w:p w14:paraId="6FE66142" w14:textId="0F366A38" w:rsidR="0026238A" w:rsidRPr="0026238A" w:rsidRDefault="0026238A" w:rsidP="000B18E5">
      <w:pPr>
        <w:pStyle w:val="NoSpacing"/>
      </w:pPr>
      <w:r>
        <w:t xml:space="preserve">The onus is on the Crown to demonstrate that a delay in facilitating access to counsel is reasonable: </w:t>
      </w:r>
      <w:r>
        <w:rPr>
          <w:i/>
        </w:rPr>
        <w:t xml:space="preserve">R v Hobeika, </w:t>
      </w:r>
      <w:hyperlink r:id="rId300" w:history="1">
        <w:r w:rsidRPr="0026238A">
          <w:rPr>
            <w:rStyle w:val="Hyperlink"/>
          </w:rPr>
          <w:t>2020 ONCA 750</w:t>
        </w:r>
      </w:hyperlink>
      <w:r>
        <w:t>, at para 73</w:t>
      </w:r>
    </w:p>
    <w:p w14:paraId="4599BB47" w14:textId="77777777" w:rsidR="0026238A" w:rsidRPr="0026238A" w:rsidRDefault="0026238A" w:rsidP="000B18E5">
      <w:pPr>
        <w:pStyle w:val="NoSpacing"/>
      </w:pPr>
    </w:p>
    <w:p w14:paraId="6DFA3E55" w14:textId="77777777" w:rsidR="000B18E5" w:rsidRPr="00BB3634" w:rsidRDefault="000B18E5" w:rsidP="000B18E5">
      <w:pPr>
        <w:pStyle w:val="NoSpacing"/>
      </w:pPr>
      <w:r w:rsidRPr="00BB3634">
        <w:t>If a detained person, having been advised of his right to counsel, chooses to exercise that right, the police must provide the detained person with a reasonable opportunity to exercise that right and must refrain from eliciting incriminatory evidence from the detained person until he has had a reasonable opportunity to consult with counsel: </w:t>
      </w:r>
      <w:r w:rsidRPr="00BB3634">
        <w:rPr>
          <w:i/>
        </w:rPr>
        <w:t>R v Hamilton, </w:t>
      </w:r>
      <w:hyperlink r:id="rId301" w:tgtFrame="_blank" w:history="1">
        <w:r w:rsidRPr="00BB3634">
          <w:rPr>
            <w:rStyle w:val="Hyperlink"/>
            <w:color w:val="auto"/>
          </w:rPr>
          <w:t>2017 ONCA 179 </w:t>
        </w:r>
      </w:hyperlink>
      <w:r w:rsidRPr="00BB3634">
        <w:t xml:space="preserve">at para 71; </w:t>
      </w:r>
      <w:r w:rsidRPr="00BB3634">
        <w:rPr>
          <w:i/>
        </w:rPr>
        <w:t xml:space="preserve">R v GTD, </w:t>
      </w:r>
      <w:hyperlink r:id="rId302" w:history="1">
        <w:r w:rsidRPr="00BB3634">
          <w:rPr>
            <w:rStyle w:val="Hyperlink"/>
          </w:rPr>
          <w:t>2018 SCC 7</w:t>
        </w:r>
      </w:hyperlink>
    </w:p>
    <w:p w14:paraId="7E7E3043" w14:textId="77777777" w:rsidR="007736E1" w:rsidRPr="00BB3634" w:rsidRDefault="007736E1" w:rsidP="000B18E5">
      <w:pPr>
        <w:pStyle w:val="NoSpacing"/>
      </w:pPr>
    </w:p>
    <w:p w14:paraId="1F315FF7" w14:textId="77777777" w:rsidR="000B18E5" w:rsidRPr="00BB3634" w:rsidRDefault="000B18E5" w:rsidP="000B18E5">
      <w:pPr>
        <w:pStyle w:val="NoSpacing"/>
      </w:pPr>
      <w:r w:rsidRPr="00BB3634">
        <w:t xml:space="preserve">If an accused person asserts his/her right to speak to a lawyer when read his/her rights, then the question “Do you wish to say anything in answer to the charge?” asked at the conclusion of the standard caution, violates the police duty to hold off questioning. Any statements elicited as a result of this question may be excluded: </w:t>
      </w:r>
      <w:r w:rsidRPr="00BB3634">
        <w:rPr>
          <w:i/>
        </w:rPr>
        <w:t xml:space="preserve">R v GTD, </w:t>
      </w:r>
      <w:hyperlink r:id="rId303" w:history="1">
        <w:r w:rsidRPr="00BB3634">
          <w:rPr>
            <w:rStyle w:val="Hyperlink"/>
          </w:rPr>
          <w:t>2018 SCC 7</w:t>
        </w:r>
      </w:hyperlink>
    </w:p>
    <w:p w14:paraId="78986BDC" w14:textId="45449DFE" w:rsidR="000B18E5" w:rsidRPr="00BB3634" w:rsidRDefault="000B18E5" w:rsidP="000B18E5">
      <w:pPr>
        <w:pStyle w:val="NoSpacing"/>
      </w:pPr>
      <w:r w:rsidRPr="00BB3634">
        <w:rPr>
          <w:rStyle w:val="wixguard"/>
          <w:bCs w:val="0"/>
        </w:rPr>
        <w:t>​</w:t>
      </w:r>
    </w:p>
    <w:p w14:paraId="635AEB9C" w14:textId="77777777" w:rsidR="000B18E5" w:rsidRDefault="000B18E5" w:rsidP="000B18E5">
      <w:pPr>
        <w:pStyle w:val="NoSpacing"/>
      </w:pPr>
    </w:p>
    <w:p w14:paraId="44010FE2" w14:textId="56E9D345" w:rsidR="00293206" w:rsidRPr="00BB3634" w:rsidRDefault="00293206" w:rsidP="000B18E5">
      <w:pPr>
        <w:pStyle w:val="NoSpacing"/>
      </w:pPr>
      <w:r w:rsidRPr="00BB3634">
        <w:t>The s. 10(b) jurisprudence has</w:t>
      </w:r>
      <w:r w:rsidR="004F3EF3" w:rsidRPr="00BB3634">
        <w:t xml:space="preserve"> </w:t>
      </w:r>
      <w:r w:rsidRPr="00BB3634">
        <w:t xml:space="preserve">always recognized that specific circumstances may justify some delay in providing a detainee access to counsel. Those circumstances often relate to police safety, public safety, or the preservation of evidence. For example, the police could delay providing access to counsel in order to properly gain control of the scene of the arrest and search for restricted weapons known to be at the scene. </w:t>
      </w:r>
      <w:r w:rsidR="0066187B" w:rsidRPr="00BB3634">
        <w:t>S</w:t>
      </w:r>
      <w:r w:rsidRPr="00BB3634">
        <w:t>pecific circumstances relating to the execution of search warrants can also justify delaying access to counsel until the warrant is executed</w:t>
      </w:r>
      <w:r w:rsidR="0066187B" w:rsidRPr="00BB3634">
        <w:t>.</w:t>
      </w:r>
    </w:p>
    <w:p w14:paraId="5F82B77D" w14:textId="77777777" w:rsidR="0066187B" w:rsidRPr="00BB3634" w:rsidRDefault="0066187B" w:rsidP="000B18E5">
      <w:pPr>
        <w:pStyle w:val="NoSpacing"/>
      </w:pPr>
    </w:p>
    <w:p w14:paraId="77CB3548" w14:textId="4D43536C" w:rsidR="00293206" w:rsidRPr="00BB3634" w:rsidRDefault="0066187B" w:rsidP="000B18E5">
      <w:pPr>
        <w:pStyle w:val="NoSpacing"/>
      </w:pPr>
      <w:r w:rsidRPr="00BB3634">
        <w:t>H</w:t>
      </w:r>
      <w:r w:rsidR="00293206" w:rsidRPr="00BB3634">
        <w:t>owever, concerns of a general or non-specific nature applicable to virtually any search cannot justify delaying access to counsel.</w:t>
      </w:r>
      <w:r w:rsidR="006F3218" w:rsidRPr="00BB3634">
        <w:t xml:space="preserve"> The suspension of the right to counsel is an exceptional step that should only be undertaken in cases where urgent and dangerous circumstances arise or where there are concerns for officer or public safety.</w:t>
      </w:r>
      <w:r w:rsidR="00293206" w:rsidRPr="00BB3634">
        <w:t xml:space="preserve"> The police may delay access only after turning their mind to the specifics of the circumstances and concluding, on some reasonable basis, that police or public safety, or the need to preserve evidence, justifies some delay in granting access to counsel. Even when those circumstances exist, the police must also take reasonable steps to minimize the dela</w:t>
      </w:r>
      <w:r w:rsidR="00D649BC" w:rsidRPr="00BB3634">
        <w:t>y in granting access to counsel. A policy or practice routinely or categorically permitting the suspension of the right to counsel in certain types of investigations is inappropriate</w:t>
      </w:r>
      <w:r w:rsidR="00D75603" w:rsidRPr="00BB3634">
        <w:t>.</w:t>
      </w:r>
    </w:p>
    <w:p w14:paraId="7E04F2F3" w14:textId="77777777" w:rsidR="00D75603" w:rsidRPr="00BB3634" w:rsidRDefault="00D75603" w:rsidP="000B18E5">
      <w:pPr>
        <w:pStyle w:val="NoSpacing"/>
      </w:pPr>
    </w:p>
    <w:p w14:paraId="1D1486CE" w14:textId="7CCECBBB" w:rsidR="00293206" w:rsidRDefault="00D75603" w:rsidP="000B18E5">
      <w:pPr>
        <w:pStyle w:val="NoSpacing"/>
      </w:pPr>
      <w:r w:rsidRPr="00BB3634">
        <w:t xml:space="preserve">The justification may be premised on the risk of the destruction of evidence, public safety, police safety, or some other urgent or dangerous circumstance. Furthermore, if the police determine that some delay in allowing an arrested </w:t>
      </w:r>
      <w:r w:rsidRPr="00BB3634">
        <w:lastRenderedPageBreak/>
        <w:t xml:space="preserve">person to speak to counsel is justified to permit execution of the warrant, then they must consider whether it is necessary to arrest the individual before they execute the warrant. The police cannot create a justification for delaying access to counsel by choosing, for reasons of convenience or efficiency, to arrest an individual before seeking, obtaining, and executing a search warrant. Police efficiency and convenience cannot justify delaying an arrested person’s right to speak with counsel for several hours: </w:t>
      </w:r>
      <w:r w:rsidRPr="00BB3634">
        <w:rPr>
          <w:i/>
        </w:rPr>
        <w:t xml:space="preserve">R v Rover, </w:t>
      </w:r>
      <w:hyperlink r:id="rId304" w:history="1">
        <w:r w:rsidRPr="00BB3634">
          <w:rPr>
            <w:rStyle w:val="Hyperlink"/>
          </w:rPr>
          <w:t>2018 ONCA 745</w:t>
        </w:r>
      </w:hyperlink>
      <w:r w:rsidRPr="00BB3634">
        <w:t xml:space="preserve"> at para 26-28, 32-33</w:t>
      </w:r>
      <w:r w:rsidR="002F7425" w:rsidRPr="00BB3634">
        <w:t xml:space="preserve">; </w:t>
      </w:r>
      <w:r w:rsidR="002F7425" w:rsidRPr="00BB3634">
        <w:rPr>
          <w:i/>
        </w:rPr>
        <w:t xml:space="preserve">R v La, </w:t>
      </w:r>
      <w:hyperlink r:id="rId305" w:anchor="_ftn1" w:history="1">
        <w:r w:rsidR="002F7425" w:rsidRPr="00BB3634">
          <w:rPr>
            <w:rStyle w:val="Hyperlink"/>
          </w:rPr>
          <w:t>2018 ONCA 830</w:t>
        </w:r>
      </w:hyperlink>
      <w:r w:rsidR="002F7425" w:rsidRPr="00BB3634">
        <w:t>, at para 45</w:t>
      </w:r>
    </w:p>
    <w:p w14:paraId="246ACF8E" w14:textId="30A92F90" w:rsidR="000B18E5" w:rsidRDefault="000B18E5" w:rsidP="000B18E5">
      <w:pPr>
        <w:pStyle w:val="NoSpacing"/>
      </w:pPr>
    </w:p>
    <w:p w14:paraId="3D1BCD40" w14:textId="7740FAF1" w:rsidR="000B18E5" w:rsidRPr="00BB3634" w:rsidRDefault="000B18E5" w:rsidP="000B18E5">
      <w:pPr>
        <w:pStyle w:val="NoSpacing"/>
      </w:pPr>
      <w:r>
        <w:t>C</w:t>
      </w:r>
      <w:r w:rsidRPr="00BB3634">
        <w:t xml:space="preserve">oncerns </w:t>
      </w:r>
      <w:r>
        <w:t xml:space="preserve">to hold off on providing access to counsel </w:t>
      </w:r>
      <w:r w:rsidRPr="00BB3634">
        <w:t xml:space="preserve">must be circumstantially concrete. General or theoretical concern for officer safety and destruction of evidence will not justify a suspension of the right to counsel. Rather, the assessment of whether a delay or suspension of the right to counsel is justified involves a fact specific contextual determination. The trial judge must analyze whether any concerns on the part of the police were reasonable in the circumstances: </w:t>
      </w:r>
      <w:r w:rsidRPr="00BB3634">
        <w:rPr>
          <w:i/>
        </w:rPr>
        <w:t>R v La</w:t>
      </w:r>
      <w:hyperlink r:id="rId306" w:anchor="_ftn1" w:history="1">
        <w:r w:rsidRPr="00BB3634">
          <w:rPr>
            <w:rStyle w:val="Hyperlink"/>
            <w:i/>
          </w:rPr>
          <w:t xml:space="preserve">, </w:t>
        </w:r>
        <w:r w:rsidRPr="00BB3634">
          <w:rPr>
            <w:rStyle w:val="Hyperlink"/>
          </w:rPr>
          <w:t>2018 ONCA 830</w:t>
        </w:r>
      </w:hyperlink>
      <w:r w:rsidRPr="00BB3634">
        <w:t xml:space="preserve">, at paras 39, 41; see also </w:t>
      </w:r>
      <w:r w:rsidRPr="00BB3634">
        <w:rPr>
          <w:i/>
        </w:rPr>
        <w:t xml:space="preserve">R v Rover, </w:t>
      </w:r>
      <w:hyperlink r:id="rId307" w:history="1">
        <w:r w:rsidRPr="00BB3634">
          <w:rPr>
            <w:rStyle w:val="Hyperlink"/>
          </w:rPr>
          <w:t>2018 ONCA 745</w:t>
        </w:r>
      </w:hyperlink>
      <w:r w:rsidRPr="00BB3634">
        <w:t xml:space="preserve"> at para 26-28, 32-33 </w:t>
      </w:r>
    </w:p>
    <w:p w14:paraId="65926AE5" w14:textId="77777777" w:rsidR="000B18E5" w:rsidRPr="00BB3634" w:rsidRDefault="000B18E5" w:rsidP="000B18E5">
      <w:pPr>
        <w:pStyle w:val="NoSpacing"/>
      </w:pPr>
    </w:p>
    <w:p w14:paraId="12F164E4" w14:textId="51B84748" w:rsidR="00214568" w:rsidRPr="00BB3634" w:rsidRDefault="00214568" w:rsidP="000B18E5">
      <w:pPr>
        <w:pStyle w:val="NoSpacing"/>
      </w:pPr>
    </w:p>
    <w:p w14:paraId="341BEACE" w14:textId="77777777" w:rsidR="00214568" w:rsidRPr="00BB3634" w:rsidRDefault="00214568" w:rsidP="000B18E5">
      <w:pPr>
        <w:pStyle w:val="NoSpacing"/>
      </w:pPr>
      <w:r w:rsidRPr="00BB3634">
        <w:t>The seriousness of a s.10(b) breach cannot be attenuated by the fact that:</w:t>
      </w:r>
    </w:p>
    <w:p w14:paraId="18432561" w14:textId="77777777" w:rsidR="00214568" w:rsidRPr="00BB3634" w:rsidRDefault="00214568" w:rsidP="000B18E5">
      <w:pPr>
        <w:pStyle w:val="NoSpacing"/>
        <w:numPr>
          <w:ilvl w:val="0"/>
          <w:numId w:val="40"/>
        </w:numPr>
      </w:pPr>
      <w:r w:rsidRPr="00BB3634">
        <w:t xml:space="preserve">the police do not commit an additional breach by attempting to solicit information prior to facilitating rights to counsel: </w:t>
      </w:r>
    </w:p>
    <w:p w14:paraId="21751AA8" w14:textId="77777777" w:rsidR="00214568" w:rsidRPr="00BB3634" w:rsidRDefault="00214568" w:rsidP="000B18E5">
      <w:pPr>
        <w:pStyle w:val="NoSpacing"/>
        <w:numPr>
          <w:ilvl w:val="0"/>
          <w:numId w:val="40"/>
        </w:numPr>
      </w:pPr>
      <w:r w:rsidRPr="00BB3634">
        <w:t>the right to counsel is delayed, as opposed to denied altogether</w:t>
      </w:r>
    </w:p>
    <w:p w14:paraId="290B565D" w14:textId="52EA54B1" w:rsidR="00214568" w:rsidRPr="00BB3634" w:rsidRDefault="00214568" w:rsidP="000B18E5">
      <w:pPr>
        <w:pStyle w:val="NoSpacing"/>
        <w:numPr>
          <w:ilvl w:val="0"/>
          <w:numId w:val="40"/>
        </w:numPr>
      </w:pPr>
      <w:r w:rsidRPr="00BB3634">
        <w:t xml:space="preserve">the accused does not demonstrate that the delay occasioned a failure to have a meaningful conversation with counsel: </w:t>
      </w:r>
      <w:r w:rsidRPr="00BB3634">
        <w:rPr>
          <w:i/>
        </w:rPr>
        <w:t xml:space="preserve">R v Noel, </w:t>
      </w:r>
      <w:hyperlink r:id="rId308" w:history="1">
        <w:r w:rsidRPr="00BB3634">
          <w:rPr>
            <w:rStyle w:val="Hyperlink"/>
          </w:rPr>
          <w:t>2019 ONCA 860,</w:t>
        </w:r>
      </w:hyperlink>
      <w:r w:rsidRPr="00BB3634">
        <w:t xml:space="preserve"> at paras 19-22</w:t>
      </w:r>
    </w:p>
    <w:p w14:paraId="259387CC" w14:textId="269FBC92" w:rsidR="00214568" w:rsidRPr="00BB3634" w:rsidRDefault="00214568" w:rsidP="000B18E5">
      <w:pPr>
        <w:pStyle w:val="NoSpacing"/>
      </w:pPr>
    </w:p>
    <w:p w14:paraId="5911E4DC" w14:textId="6DA642D3" w:rsidR="00214568" w:rsidRPr="00BB3634" w:rsidRDefault="00214568" w:rsidP="000B18E5">
      <w:pPr>
        <w:pStyle w:val="NoSpacing"/>
      </w:pPr>
      <w:r w:rsidRPr="00BB3634">
        <w:t>The Court cannot assume that an accused ultimately spoke to counsel in the absence of evidence:</w:t>
      </w:r>
      <w:r w:rsidRPr="00BB3634">
        <w:rPr>
          <w:i/>
        </w:rPr>
        <w:t xml:space="preserve"> Noel </w:t>
      </w:r>
      <w:r w:rsidRPr="00BB3634">
        <w:t>at para 20</w:t>
      </w:r>
    </w:p>
    <w:p w14:paraId="3D62016E" w14:textId="0FBBDC2E" w:rsidR="001D5C39" w:rsidRDefault="001D5C39" w:rsidP="000B18E5">
      <w:pPr>
        <w:pStyle w:val="NoSpacing"/>
      </w:pPr>
    </w:p>
    <w:p w14:paraId="0A20F1F1" w14:textId="2EB1C3AC" w:rsidR="007736E1" w:rsidRPr="007736E1" w:rsidRDefault="007736E1" w:rsidP="00DE03BA">
      <w:pPr>
        <w:pStyle w:val="NoSpacing"/>
      </w:pPr>
      <w:r w:rsidRPr="007736E1">
        <w:t>There are a number of ways in which the police may facilitate a detainee’s right to immediate contact with counsel. Where the police assume the responsibility of making first contact, rather than providing the detainee with direct access to a phone or internet connection, they must be taken to have assumed the obligation to pursue the detainee’s constitutional right to [access counsel] as diligently as she would have</w:t>
      </w:r>
      <w:r w:rsidR="00DE03BA">
        <w:t>.</w:t>
      </w:r>
      <w:r w:rsidRPr="007736E1">
        <w:t> Anything less would encourage token efforts by the police and imperil the right of those in detention to consult a lawyer of their choosing</w:t>
      </w:r>
      <w:r w:rsidR="00DE03BA">
        <w:t xml:space="preserve">: </w:t>
      </w:r>
      <w:r w:rsidR="00DE03BA">
        <w:rPr>
          <w:i/>
          <w:iCs w:val="0"/>
        </w:rPr>
        <w:t xml:space="preserve">R v Jarrett, </w:t>
      </w:r>
      <w:hyperlink r:id="rId309" w:anchor="_ftnref4" w:history="1">
        <w:r w:rsidR="00DE03BA" w:rsidRPr="00DE03BA">
          <w:rPr>
            <w:rStyle w:val="Hyperlink"/>
          </w:rPr>
          <w:t>2021 ONCA 758</w:t>
        </w:r>
      </w:hyperlink>
      <w:r w:rsidR="00DE03BA">
        <w:t xml:space="preserve">, at para 43 </w:t>
      </w:r>
    </w:p>
    <w:p w14:paraId="34FA872F" w14:textId="77777777" w:rsidR="007736E1" w:rsidRDefault="007736E1" w:rsidP="000B18E5">
      <w:pPr>
        <w:pStyle w:val="NoSpacing"/>
      </w:pPr>
    </w:p>
    <w:p w14:paraId="6BBC17EF" w14:textId="0A390F71" w:rsidR="007736E1" w:rsidRPr="007736E1" w:rsidRDefault="007736E1" w:rsidP="007736E1">
      <w:pPr>
        <w:pStyle w:val="NoSpacing"/>
      </w:pPr>
      <w:r w:rsidRPr="007736E1">
        <w:lastRenderedPageBreak/>
        <w:t>In Jarrett, the Court of Appeal held that the police breached the duty to immediately provide the accused with a reasonable opoportunithy to speak to counsel when they did nothing but leave a single message with counsel, without any follow up, for 30 hours. The Court highlighted that the police “did not explore whether there were other means of making contact with the counsel the appellant had specified. Nor was the appellant told that a message had been left with the counsel he had specified, or that it had not been answered. Thus, he was not given the opportunity to provide other contact information for that counsel if he had it, or to specify another counsel who might be more immediately responsive”</w:t>
      </w:r>
      <w:r w:rsidR="00DE03BA">
        <w:t xml:space="preserve">: </w:t>
      </w:r>
      <w:r w:rsidR="00DE03BA">
        <w:rPr>
          <w:i/>
          <w:iCs w:val="0"/>
        </w:rPr>
        <w:t xml:space="preserve">R v Jarrett, </w:t>
      </w:r>
      <w:hyperlink r:id="rId310" w:anchor="_ftnref4" w:history="1">
        <w:r w:rsidR="00DE03BA" w:rsidRPr="00DE03BA">
          <w:rPr>
            <w:rStyle w:val="Hyperlink"/>
          </w:rPr>
          <w:t>2021 ONCA 758</w:t>
        </w:r>
      </w:hyperlink>
      <w:r w:rsidR="00DE03BA">
        <w:t xml:space="preserve">, at para 42 </w:t>
      </w:r>
    </w:p>
    <w:p w14:paraId="0E9430E8" w14:textId="77777777" w:rsidR="007736E1" w:rsidRPr="00BB3634" w:rsidRDefault="007736E1" w:rsidP="000B18E5">
      <w:pPr>
        <w:pStyle w:val="NoSpacing"/>
      </w:pPr>
    </w:p>
    <w:p w14:paraId="0AEC02A7" w14:textId="5C201483" w:rsidR="00FA42F3" w:rsidRPr="00BB3634" w:rsidRDefault="00FA42F3" w:rsidP="007A6720">
      <w:pPr>
        <w:pStyle w:val="Heading3"/>
        <w:numPr>
          <w:ilvl w:val="0"/>
          <w:numId w:val="35"/>
        </w:numPr>
      </w:pPr>
      <w:bookmarkStart w:id="112" w:name="_Toc94360193"/>
      <w:r w:rsidRPr="00BB3634">
        <w:t>The Right to Reconsult Counsel</w:t>
      </w:r>
      <w:bookmarkEnd w:id="112"/>
    </w:p>
    <w:p w14:paraId="2DA3954D" w14:textId="77777777" w:rsidR="00FA42F3" w:rsidRPr="00BB3634" w:rsidRDefault="00FA42F3" w:rsidP="000B18E5">
      <w:pPr>
        <w:pStyle w:val="NoSpacing"/>
        <w:rPr>
          <w:bdr w:val="none" w:sz="0" w:space="0" w:color="auto"/>
          <w:shd w:val="clear" w:color="auto" w:fill="auto"/>
        </w:rPr>
      </w:pPr>
    </w:p>
    <w:p w14:paraId="1DBB3E39" w14:textId="77777777" w:rsidR="00FA42F3" w:rsidRPr="00BB3634" w:rsidRDefault="00FA42F3" w:rsidP="00BB3634">
      <w:pPr>
        <w:spacing w:before="100" w:beforeAutospacing="1" w:after="100" w:afterAutospacing="1" w:line="276" w:lineRule="auto"/>
        <w:jc w:val="both"/>
        <w:rPr>
          <w:rFonts w:ascii="Arial" w:hAnsi="Arial" w:cs="Arial"/>
          <w:color w:val="000000"/>
        </w:rPr>
      </w:pPr>
      <w:r w:rsidRPr="00BB3634">
        <w:rPr>
          <w:rFonts w:ascii="Arial" w:hAnsi="Arial" w:cs="Arial"/>
          <w:color w:val="000000"/>
        </w:rPr>
        <w:t>There three situations in which a second consultation with counsel would be constitutionally required:</w:t>
      </w:r>
    </w:p>
    <w:p w14:paraId="7BDB9D90" w14:textId="77777777" w:rsidR="00FA42F3" w:rsidRPr="00BB3634" w:rsidRDefault="00FA42F3" w:rsidP="00FF4E15">
      <w:pPr>
        <w:pStyle w:val="ListParagraph"/>
        <w:numPr>
          <w:ilvl w:val="0"/>
          <w:numId w:val="41"/>
        </w:numPr>
        <w:spacing w:before="100" w:beforeAutospacing="1" w:after="100" w:afterAutospacing="1" w:line="276" w:lineRule="auto"/>
        <w:jc w:val="both"/>
        <w:rPr>
          <w:rFonts w:ascii="Arial" w:hAnsi="Arial" w:cs="Arial"/>
          <w:color w:val="000000"/>
          <w:sz w:val="24"/>
          <w:szCs w:val="24"/>
        </w:rPr>
      </w:pPr>
      <w:r w:rsidRPr="00BB3634">
        <w:rPr>
          <w:rFonts w:ascii="Arial" w:hAnsi="Arial" w:cs="Arial"/>
          <w:color w:val="000000"/>
          <w:sz w:val="24"/>
          <w:szCs w:val="24"/>
        </w:rPr>
        <w:t>where, after the initial consultation, non-routine procedures are proposed by the police (such as participating in a line-up or submitting to a polygraph) that do not generally fall within the expectation of the advising lawyer at the time of the initial consultation</w:t>
      </w:r>
    </w:p>
    <w:p w14:paraId="50CE44C1" w14:textId="7809F025" w:rsidR="00FA42F3" w:rsidRPr="00BB3634" w:rsidRDefault="00FA42F3" w:rsidP="00FF4E15">
      <w:pPr>
        <w:pStyle w:val="ListParagraph"/>
        <w:numPr>
          <w:ilvl w:val="0"/>
          <w:numId w:val="41"/>
        </w:numPr>
        <w:spacing w:before="100" w:beforeAutospacing="1" w:after="100" w:afterAutospacing="1" w:line="276" w:lineRule="auto"/>
        <w:jc w:val="both"/>
        <w:rPr>
          <w:rFonts w:ascii="Arial" w:hAnsi="Arial" w:cs="Arial"/>
          <w:color w:val="000000"/>
          <w:sz w:val="24"/>
          <w:szCs w:val="24"/>
        </w:rPr>
      </w:pPr>
      <w:r w:rsidRPr="00BB3634">
        <w:rPr>
          <w:rFonts w:ascii="Arial" w:hAnsi="Arial" w:cs="Arial"/>
          <w:color w:val="000000"/>
          <w:sz w:val="24"/>
          <w:szCs w:val="24"/>
        </w:rPr>
        <w:t>where, after an initial consultation, the investigation takes a new and more serious turn” making the advice inadequate in light of the actual situation, or jeopardy, the detainee faces (</w:t>
      </w:r>
      <w:r w:rsidRPr="00BB3634">
        <w:rPr>
          <w:rFonts w:ascii="Arial" w:hAnsi="Arial" w:cs="Arial"/>
          <w:i/>
          <w:sz w:val="24"/>
          <w:szCs w:val="24"/>
        </w:rPr>
        <w:t>R. v.  Blake</w:t>
      </w:r>
      <w:r w:rsidRPr="00BB3634">
        <w:rPr>
          <w:rFonts w:ascii="Arial" w:hAnsi="Arial" w:cs="Arial"/>
          <w:sz w:val="24"/>
          <w:szCs w:val="24"/>
        </w:rPr>
        <w:t xml:space="preserve">, 2015 ONCA 684; </w:t>
      </w:r>
      <w:r w:rsidRPr="00BB3634">
        <w:rPr>
          <w:rFonts w:ascii="Arial" w:hAnsi="Arial" w:cs="Arial"/>
          <w:i/>
          <w:sz w:val="24"/>
          <w:szCs w:val="24"/>
        </w:rPr>
        <w:t xml:space="preserve">R v Roberts, </w:t>
      </w:r>
      <w:hyperlink r:id="rId311" w:history="1">
        <w:r w:rsidRPr="00BB3634">
          <w:rPr>
            <w:rStyle w:val="Hyperlink"/>
            <w:rFonts w:ascii="Arial" w:hAnsi="Arial" w:cs="Arial"/>
            <w:sz w:val="24"/>
            <w:szCs w:val="24"/>
          </w:rPr>
          <w:t>2018 ONCA 411</w:t>
        </w:r>
      </w:hyperlink>
      <w:r w:rsidRPr="00BB3634">
        <w:rPr>
          <w:rFonts w:ascii="Arial" w:hAnsi="Arial" w:cs="Arial"/>
          <w:sz w:val="24"/>
          <w:szCs w:val="24"/>
        </w:rPr>
        <w:t xml:space="preserve"> at para 76)</w:t>
      </w:r>
    </w:p>
    <w:p w14:paraId="79973A56" w14:textId="6A4AFDAB" w:rsidR="00FA42F3" w:rsidRPr="00BB3634" w:rsidRDefault="00FA42F3" w:rsidP="00FF4E15">
      <w:pPr>
        <w:pStyle w:val="ListParagraph"/>
        <w:numPr>
          <w:ilvl w:val="0"/>
          <w:numId w:val="41"/>
        </w:numPr>
        <w:spacing w:before="100" w:beforeAutospacing="1" w:after="100" w:afterAutospacing="1" w:line="276" w:lineRule="auto"/>
        <w:jc w:val="both"/>
        <w:rPr>
          <w:rFonts w:ascii="Arial" w:hAnsi="Arial" w:cs="Arial"/>
          <w:color w:val="000000"/>
          <w:sz w:val="24"/>
          <w:szCs w:val="24"/>
        </w:rPr>
      </w:pPr>
      <w:r w:rsidRPr="00BB3634">
        <w:rPr>
          <w:rFonts w:ascii="Arial" w:hAnsi="Arial" w:cs="Arial"/>
          <w:color w:val="000000"/>
          <w:sz w:val="24"/>
          <w:szCs w:val="24"/>
        </w:rPr>
        <w:t xml:space="preserve">where the circumstances indicate that the detainee did not understand his right to counsel, or if police undermined the legal advice received by the detainee distorting or nullifying it: </w:t>
      </w:r>
      <w:r w:rsidRPr="00BB3634">
        <w:rPr>
          <w:rFonts w:ascii="Arial" w:hAnsi="Arial" w:cs="Arial"/>
          <w:i/>
          <w:iCs/>
          <w:color w:val="000000"/>
          <w:sz w:val="24"/>
          <w:szCs w:val="24"/>
        </w:rPr>
        <w:t xml:space="preserve">R v Tahmasebi, </w:t>
      </w:r>
      <w:hyperlink r:id="rId312" w:history="1">
        <w:r w:rsidRPr="00BB3634">
          <w:rPr>
            <w:rStyle w:val="Hyperlink"/>
            <w:rFonts w:ascii="Arial" w:hAnsi="Arial" w:cs="Arial"/>
            <w:sz w:val="24"/>
            <w:szCs w:val="24"/>
          </w:rPr>
          <w:t>2020 ONCA 47</w:t>
        </w:r>
      </w:hyperlink>
      <w:r w:rsidRPr="00BB3634">
        <w:rPr>
          <w:rFonts w:ascii="Arial" w:hAnsi="Arial" w:cs="Arial"/>
          <w:color w:val="000000"/>
          <w:sz w:val="24"/>
          <w:szCs w:val="24"/>
        </w:rPr>
        <w:t>, at para 21</w:t>
      </w:r>
    </w:p>
    <w:p w14:paraId="18F0AD5E" w14:textId="59F2686E" w:rsidR="001D5C39" w:rsidRPr="00BB3634" w:rsidRDefault="001D5C39" w:rsidP="00BB3634">
      <w:pPr>
        <w:spacing w:line="276" w:lineRule="auto"/>
        <w:rPr>
          <w:rFonts w:ascii="Arial" w:hAnsi="Arial" w:cs="Arial"/>
        </w:rPr>
      </w:pPr>
    </w:p>
    <w:p w14:paraId="439D1F99" w14:textId="21DC179E" w:rsidR="00FA42F3" w:rsidRPr="00BB3634" w:rsidRDefault="00FA42F3" w:rsidP="000B18E5">
      <w:pPr>
        <w:pStyle w:val="NoSpacing"/>
      </w:pPr>
      <w:r w:rsidRPr="00BB3634">
        <w:t xml:space="preserve">In the context of legal </w:t>
      </w:r>
      <w:r w:rsidR="006F0753" w:rsidRPr="00BB3634">
        <w:t>consultation</w:t>
      </w:r>
      <w:r w:rsidRPr="00BB3634">
        <w:t xml:space="preserve"> for an impaired driving arrest, a subsequent police request for a DRE test or a urine sample test does not fall within the category of a non-routine procedure or change inn jeopardy necesstaiting a second consultation. Both the DRE test and the urine sample are integrally connected with the consequence of an arrest for impaired driving, and legal advice on these topics would be expected of the lawyer providing advi</w:t>
      </w:r>
      <w:r w:rsidR="006F0753" w:rsidRPr="00BB3634">
        <w:t>c</w:t>
      </w:r>
      <w:r w:rsidRPr="00BB3634">
        <w:t xml:space="preserve">e on the initial consultation: </w:t>
      </w:r>
      <w:r w:rsidRPr="00BB3634">
        <w:rPr>
          <w:i/>
        </w:rPr>
        <w:t xml:space="preserve">R v Tahmasebi, </w:t>
      </w:r>
      <w:hyperlink r:id="rId313" w:history="1">
        <w:r w:rsidRPr="00BB3634">
          <w:rPr>
            <w:rStyle w:val="Hyperlink"/>
          </w:rPr>
          <w:t>2020 ONCA 47</w:t>
        </w:r>
      </w:hyperlink>
      <w:r w:rsidRPr="00BB3634">
        <w:t xml:space="preserve">, at parars 24-35 </w:t>
      </w:r>
    </w:p>
    <w:p w14:paraId="1FA285D1" w14:textId="77777777" w:rsidR="00FA42F3" w:rsidRPr="00BB3634" w:rsidRDefault="00FA42F3" w:rsidP="00BB3634">
      <w:pPr>
        <w:spacing w:line="276" w:lineRule="auto"/>
        <w:rPr>
          <w:rFonts w:ascii="Arial" w:hAnsi="Arial" w:cs="Arial"/>
        </w:rPr>
      </w:pPr>
    </w:p>
    <w:p w14:paraId="6437A039" w14:textId="77777777" w:rsidR="001D5C39" w:rsidRPr="00BB3634" w:rsidRDefault="001D5C39" w:rsidP="007A6720">
      <w:pPr>
        <w:pStyle w:val="Heading3"/>
        <w:numPr>
          <w:ilvl w:val="0"/>
          <w:numId w:val="35"/>
        </w:numPr>
      </w:pPr>
      <w:bookmarkStart w:id="113" w:name="_Toc94360194"/>
      <w:r w:rsidRPr="00BB3634">
        <w:lastRenderedPageBreak/>
        <w:t>Spontaneous Statements</w:t>
      </w:r>
      <w:bookmarkEnd w:id="113"/>
    </w:p>
    <w:p w14:paraId="450AA9EF" w14:textId="77777777" w:rsidR="001D5C39" w:rsidRPr="00BB3634" w:rsidRDefault="001D5C39" w:rsidP="00BB3634">
      <w:pPr>
        <w:spacing w:line="276" w:lineRule="auto"/>
        <w:rPr>
          <w:rFonts w:ascii="Arial" w:hAnsi="Arial" w:cs="Arial"/>
        </w:rPr>
      </w:pPr>
    </w:p>
    <w:p w14:paraId="45261FFF" w14:textId="40BD655A" w:rsidR="001D5C39" w:rsidRPr="00BB3634" w:rsidRDefault="000B51D3" w:rsidP="000B18E5">
      <w:pPr>
        <w:pStyle w:val="NoSpacing"/>
      </w:pPr>
      <w:r w:rsidRPr="00BB3634">
        <w:t>I</w:t>
      </w:r>
      <w:r w:rsidR="001D5C39" w:rsidRPr="00BB3634">
        <w:t>f a detainee makes an un-elicited and spontaneous incriminating statement after being appropriately cautioned, there is no violation of s. 10(b):</w:t>
      </w:r>
      <w:r w:rsidRPr="00BB3634">
        <w:t xml:space="preserve"> </w:t>
      </w:r>
      <w:r w:rsidRPr="00BB3634">
        <w:rPr>
          <w:i/>
        </w:rPr>
        <w:t xml:space="preserve">R v Miller, </w:t>
      </w:r>
      <w:hyperlink r:id="rId314" w:history="1">
        <w:r w:rsidRPr="00BB3634">
          <w:rPr>
            <w:rStyle w:val="Hyperlink"/>
          </w:rPr>
          <w:t>2018 ONCA 942</w:t>
        </w:r>
      </w:hyperlink>
      <w:r w:rsidRPr="00BB3634">
        <w:t>, at para 14</w:t>
      </w:r>
    </w:p>
    <w:p w14:paraId="73DDA430" w14:textId="77777777" w:rsidR="001D5C39" w:rsidRPr="00BB3634" w:rsidRDefault="001D5C39" w:rsidP="000B18E5">
      <w:pPr>
        <w:pStyle w:val="NoSpacing"/>
      </w:pPr>
    </w:p>
    <w:p w14:paraId="411CFC09" w14:textId="057F3F31" w:rsidR="007E7E79" w:rsidRPr="00BB3634" w:rsidRDefault="004B7CCB" w:rsidP="007A6720">
      <w:pPr>
        <w:pStyle w:val="Heading3"/>
        <w:numPr>
          <w:ilvl w:val="0"/>
          <w:numId w:val="35"/>
        </w:numPr>
      </w:pPr>
      <w:bookmarkStart w:id="114" w:name="_Toc94360195"/>
      <w:r w:rsidRPr="00BB3634">
        <w:t>Counsel of Choice</w:t>
      </w:r>
      <w:bookmarkEnd w:id="114"/>
    </w:p>
    <w:p w14:paraId="5AFEA3A1" w14:textId="77777777" w:rsidR="004B7CCB" w:rsidRPr="00BB3634" w:rsidRDefault="004B7CCB" w:rsidP="00BB3634">
      <w:pPr>
        <w:spacing w:line="276" w:lineRule="auto"/>
        <w:rPr>
          <w:rFonts w:ascii="Arial" w:hAnsi="Arial" w:cs="Arial"/>
        </w:rPr>
      </w:pPr>
    </w:p>
    <w:p w14:paraId="5136085B" w14:textId="77777777" w:rsidR="004B7CCB" w:rsidRPr="00BB3634" w:rsidRDefault="004B7CCB" w:rsidP="000B18E5">
      <w:pPr>
        <w:pStyle w:val="NoSpacing"/>
      </w:pPr>
      <w:r w:rsidRPr="00BB3634">
        <w:t xml:space="preserve">The right of an accused person to choose his or her counsel does not require the state to pay for an accused person’s chosen counsel, even where the accused person wins a Rowbotham order. The exception is where a) counsel of choice is necessary to a fair trial; or b) where accused shows he cannot find competent counsel under Legal Aid rates &amp; conditions: </w:t>
      </w:r>
      <w:r w:rsidRPr="00BB3634">
        <w:rPr>
          <w:i/>
        </w:rPr>
        <w:t>R v. Hafizi</w:t>
      </w:r>
      <w:r w:rsidRPr="00BB3634">
        <w:t>, 2015 ONCA 534</w:t>
      </w:r>
    </w:p>
    <w:p w14:paraId="190F386A" w14:textId="77777777" w:rsidR="00B85341" w:rsidRPr="00BB3634" w:rsidRDefault="00B85341" w:rsidP="000B18E5">
      <w:pPr>
        <w:pStyle w:val="NoSpacing"/>
      </w:pPr>
    </w:p>
    <w:p w14:paraId="2F966012" w14:textId="010FC56C" w:rsidR="00EA650B" w:rsidRPr="00BB3634" w:rsidRDefault="00EA650B" w:rsidP="007A6720">
      <w:pPr>
        <w:pStyle w:val="Heading3"/>
        <w:numPr>
          <w:ilvl w:val="0"/>
          <w:numId w:val="35"/>
        </w:numPr>
      </w:pPr>
      <w:bookmarkStart w:id="115" w:name="_Toc94360196"/>
      <w:r w:rsidRPr="00BB3634">
        <w:t>Counsel at Trial</w:t>
      </w:r>
      <w:bookmarkEnd w:id="115"/>
    </w:p>
    <w:p w14:paraId="5C3F6A78" w14:textId="012E012F" w:rsidR="00EA650B" w:rsidRPr="00BB3634" w:rsidRDefault="00EA650B" w:rsidP="000B18E5">
      <w:pPr>
        <w:pStyle w:val="NoSpacing"/>
      </w:pPr>
      <w:r w:rsidRPr="00BB3634">
        <w:t>As important as the right to counsel is, it is not an unlimited right.  It must be balanced against the timely disposition of cases. The decision to grant or not to grant an adjournment for an accused to retain counsel is a matter that is within the discretion of any trial judge.  An appellate should only interfere with a trial judge's refusal to grant an adjournment if it deprives an accused of a fair trial or the appearance of a fair trial: </w:t>
      </w:r>
      <w:r w:rsidRPr="00BB3634">
        <w:rPr>
          <w:i/>
        </w:rPr>
        <w:t xml:space="preserve">R v Patel, </w:t>
      </w:r>
      <w:hyperlink r:id="rId315" w:history="1">
        <w:r w:rsidRPr="00BB3634">
          <w:rPr>
            <w:rStyle w:val="Hyperlink"/>
          </w:rPr>
          <w:t>2018 ONCA 541</w:t>
        </w:r>
      </w:hyperlink>
      <w:r w:rsidRPr="00BB3634">
        <w:t xml:space="preserve"> at para 3</w:t>
      </w:r>
    </w:p>
    <w:p w14:paraId="2F8CF953" w14:textId="704F3B13" w:rsidR="001D5C39" w:rsidRPr="00BB3634" w:rsidRDefault="001D5C39" w:rsidP="00BB3634">
      <w:pPr>
        <w:spacing w:line="276" w:lineRule="auto"/>
        <w:rPr>
          <w:rFonts w:ascii="Arial" w:hAnsi="Arial" w:cs="Arial"/>
        </w:rPr>
      </w:pPr>
    </w:p>
    <w:p w14:paraId="2A9A29AF" w14:textId="5466D376" w:rsidR="006F0753" w:rsidRPr="00BB3634" w:rsidRDefault="006F0753" w:rsidP="000B18E5">
      <w:pPr>
        <w:pStyle w:val="NoSpacing"/>
      </w:pPr>
      <w:r w:rsidRPr="00BB3634">
        <w:t xml:space="preserve">The failure to inquire into whether a self-represented litigant wishes to retain counsel at trial means that the accused’s decision to proceed without counsel cannot be said to be an informed one: </w:t>
      </w:r>
      <w:r w:rsidRPr="00BB3634">
        <w:rPr>
          <w:i/>
        </w:rPr>
        <w:t xml:space="preserve">R v Walker, </w:t>
      </w:r>
      <w:hyperlink r:id="rId316" w:history="1">
        <w:r w:rsidRPr="00BB3634">
          <w:rPr>
            <w:rStyle w:val="Hyperlink"/>
          </w:rPr>
          <w:t>2019 ONCA 765</w:t>
        </w:r>
      </w:hyperlink>
      <w:r w:rsidRPr="00BB3634">
        <w:t xml:space="preserve">, at para 30 </w:t>
      </w:r>
    </w:p>
    <w:p w14:paraId="47EB4433" w14:textId="531ED91D" w:rsidR="00894D38" w:rsidRDefault="00894D38" w:rsidP="000B18E5">
      <w:pPr>
        <w:pStyle w:val="NoSpacing"/>
      </w:pPr>
    </w:p>
    <w:p w14:paraId="617C0161" w14:textId="2FA35054" w:rsidR="00BB3634" w:rsidRDefault="00BB3634" w:rsidP="000B18E5">
      <w:pPr>
        <w:pStyle w:val="NoSpacing"/>
      </w:pPr>
    </w:p>
    <w:p w14:paraId="274D866D" w14:textId="77777777" w:rsidR="00BB3634" w:rsidRPr="00BB3634" w:rsidRDefault="00BB3634" w:rsidP="000B18E5">
      <w:pPr>
        <w:pStyle w:val="NoSpacing"/>
      </w:pPr>
    </w:p>
    <w:p w14:paraId="27A424E2" w14:textId="1D40EBCD" w:rsidR="00894D38" w:rsidRPr="00BB3634" w:rsidRDefault="00D23AF9" w:rsidP="007A6720">
      <w:pPr>
        <w:pStyle w:val="Heading3"/>
        <w:numPr>
          <w:ilvl w:val="0"/>
          <w:numId w:val="35"/>
        </w:numPr>
      </w:pPr>
      <w:bookmarkStart w:id="116" w:name="_Toc94360197"/>
      <w:r w:rsidRPr="00BB3634">
        <w:t>R</w:t>
      </w:r>
      <w:r w:rsidR="00894D38" w:rsidRPr="00BB3634">
        <w:t xml:space="preserve">oadside </w:t>
      </w:r>
      <w:r w:rsidRPr="00BB3634">
        <w:t>S</w:t>
      </w:r>
      <w:r w:rsidR="00894D38" w:rsidRPr="00BB3634">
        <w:t xml:space="preserve">obriety </w:t>
      </w:r>
      <w:r w:rsidRPr="00BB3634">
        <w:t>T</w:t>
      </w:r>
      <w:r w:rsidR="00894D38" w:rsidRPr="00BB3634">
        <w:t>ests</w:t>
      </w:r>
      <w:bookmarkEnd w:id="116"/>
    </w:p>
    <w:p w14:paraId="3C558B32" w14:textId="77777777" w:rsidR="00B85341" w:rsidRPr="00BB3634" w:rsidRDefault="00B85341" w:rsidP="00BB3634">
      <w:pPr>
        <w:spacing w:line="276" w:lineRule="auto"/>
        <w:rPr>
          <w:rFonts w:ascii="Arial" w:hAnsi="Arial" w:cs="Arial"/>
        </w:rPr>
      </w:pPr>
    </w:p>
    <w:p w14:paraId="1146D693" w14:textId="156C4F56" w:rsidR="00894D38" w:rsidRPr="00BB3634" w:rsidRDefault="00894D38" w:rsidP="000B18E5">
      <w:pPr>
        <w:pStyle w:val="NoSpacing"/>
      </w:pPr>
      <w:r w:rsidRPr="00BB3634">
        <w:t xml:space="preserve">The constitutional right to be protected from conscription until a reasonable opportunity to consult counsel has been provided would be breached by roadside sobriety testing, unless the testing is a demonstrably justifiable and reasonable </w:t>
      </w:r>
      <w:r w:rsidRPr="00BB3634">
        <w:lastRenderedPageBreak/>
        <w:t xml:space="preserve">limit on this constitutional right that is prescribed by law: </w:t>
      </w:r>
      <w:r w:rsidRPr="00BB3634">
        <w:rPr>
          <w:i/>
        </w:rPr>
        <w:t xml:space="preserve">R v Roberts, </w:t>
      </w:r>
      <w:hyperlink r:id="rId317" w:history="1">
        <w:r w:rsidRPr="00BB3634">
          <w:rPr>
            <w:rStyle w:val="Hyperlink"/>
          </w:rPr>
          <w:t>2018 ONCA 411</w:t>
        </w:r>
      </w:hyperlink>
      <w:r w:rsidRPr="00BB3634">
        <w:t xml:space="preserve"> at para 87</w:t>
      </w:r>
    </w:p>
    <w:p w14:paraId="681749BE" w14:textId="77777777" w:rsidR="00C47E9F" w:rsidRPr="00BB3634" w:rsidRDefault="00C47E9F" w:rsidP="000B18E5">
      <w:pPr>
        <w:pStyle w:val="NoSpacing"/>
      </w:pPr>
    </w:p>
    <w:p w14:paraId="116FBEFC" w14:textId="2A89F520" w:rsidR="00894D38" w:rsidRPr="00BB3634" w:rsidRDefault="00894D38" w:rsidP="000B18E5">
      <w:pPr>
        <w:pStyle w:val="NoSpacing"/>
      </w:pPr>
      <w:r w:rsidRPr="00BB3634">
        <w:t xml:space="preserve">In this regard, the Court of Appeal has held that conscripting detainees through roadside sobriety testing provided for in provincial highway traffic legislation is demonstrably justifiable and reasonable. This includes questions about  alcohol consumption and co-ordination tests. Such roadside sobriety testing is reasonable and justifiable so long as the evidence obtained is used solely to support an officer’s ground for arrest or detention. In contrast, it would be disproportionate, and therefore not demonstrably justifiable, to use conscripted evidence as proof of impairment during a trial: </w:t>
      </w:r>
      <w:r w:rsidRPr="00BB3634">
        <w:rPr>
          <w:i/>
        </w:rPr>
        <w:t xml:space="preserve">Roberts </w:t>
      </w:r>
      <w:r w:rsidRPr="00BB3634">
        <w:t>at para 88</w:t>
      </w:r>
    </w:p>
    <w:p w14:paraId="63848EE6" w14:textId="77777777" w:rsidR="00BC22DB" w:rsidRPr="00BB3634" w:rsidRDefault="00BC22DB" w:rsidP="000B18E5">
      <w:pPr>
        <w:pStyle w:val="NoSpacing"/>
      </w:pPr>
    </w:p>
    <w:p w14:paraId="2DAA9D18" w14:textId="1D49C0CB" w:rsidR="00D743FB" w:rsidRPr="00BB3634" w:rsidRDefault="00D743FB" w:rsidP="00BB3634">
      <w:pPr>
        <w:pStyle w:val="Heading2"/>
        <w:numPr>
          <w:ilvl w:val="0"/>
          <w:numId w:val="3"/>
        </w:numPr>
        <w:spacing w:line="276" w:lineRule="auto"/>
        <w:ind w:left="360"/>
        <w:rPr>
          <w:rFonts w:cs="Arial"/>
        </w:rPr>
      </w:pPr>
      <w:bookmarkStart w:id="117" w:name="_Toc94360198"/>
      <w:r w:rsidRPr="00BB3634">
        <w:rPr>
          <w:rFonts w:cs="Arial"/>
        </w:rPr>
        <w:t>A Tainted Second Statement</w:t>
      </w:r>
      <w:bookmarkEnd w:id="117"/>
    </w:p>
    <w:p w14:paraId="5ACA4C8F" w14:textId="77777777" w:rsidR="005956AC" w:rsidRPr="00BB3634" w:rsidRDefault="005956AC" w:rsidP="000B18E5">
      <w:pPr>
        <w:pStyle w:val="NoSpacing"/>
      </w:pPr>
    </w:p>
    <w:p w14:paraId="05597E42" w14:textId="68B09ED5" w:rsidR="00D743FB" w:rsidRPr="00BB3634" w:rsidRDefault="00D743FB" w:rsidP="000B18E5">
      <w:pPr>
        <w:pStyle w:val="NoSpacing"/>
      </w:pPr>
      <w:r w:rsidRPr="00BB3634">
        <w:t>The </w:t>
      </w:r>
      <w:r w:rsidRPr="00BB3634">
        <w:rPr>
          <w:i/>
        </w:rPr>
        <w:t>Plaha</w:t>
      </w:r>
      <w:r w:rsidRPr="00BB3634">
        <w:t> test applies in determining whether, when the police have obtained a statement in violation of s. 10(b), and the suspect gives a second statement after having consulted a lawyer, the second statement was “obtained in a manner” that infringed the Charter: </w:t>
      </w:r>
      <w:r w:rsidRPr="00BB3634">
        <w:rPr>
          <w:i/>
        </w:rPr>
        <w:t>R v Hamilton</w:t>
      </w:r>
      <w:r w:rsidRPr="00BB3634">
        <w:t>, </w:t>
      </w:r>
      <w:hyperlink r:id="rId318" w:tgtFrame="_blank" w:history="1">
        <w:r w:rsidRPr="00BB3634">
          <w:rPr>
            <w:rStyle w:val="Hyperlink"/>
            <w:color w:val="auto"/>
          </w:rPr>
          <w:t>2017 ONCA 179 </w:t>
        </w:r>
      </w:hyperlink>
      <w:r w:rsidRPr="00BB3634">
        <w:t>at para 45</w:t>
      </w:r>
    </w:p>
    <w:p w14:paraId="554D69F7" w14:textId="77777777" w:rsidR="00D743FB" w:rsidRPr="00BB3634" w:rsidRDefault="00D743FB" w:rsidP="000B18E5">
      <w:pPr>
        <w:pStyle w:val="NoSpacing"/>
      </w:pPr>
      <w:r w:rsidRPr="00BB3634">
        <w:rPr>
          <w:rStyle w:val="wixguard"/>
        </w:rPr>
        <w:t>​</w:t>
      </w:r>
    </w:p>
    <w:p w14:paraId="15E70738" w14:textId="77777777" w:rsidR="00D743FB" w:rsidRPr="00BB3634" w:rsidRDefault="00D743FB" w:rsidP="000B18E5">
      <w:pPr>
        <w:pStyle w:val="NoSpacing"/>
      </w:pPr>
      <w:r w:rsidRPr="00BB3634">
        <w:t>There are two components to the s. 24(2) analysis.  The first is a threshold requirement: was the impugned statement obtained in a manner that infringed a Charter right?  If that threshold is crossed, one turns to the second “evaluative” component of s. 24(2) to determine whether the admission of the impugned evidence would bring the administration of justice into disrepute.</w:t>
      </w:r>
    </w:p>
    <w:p w14:paraId="5B0CA4B1" w14:textId="77777777" w:rsidR="00D743FB" w:rsidRPr="00BB3634" w:rsidRDefault="00D743FB" w:rsidP="000B18E5">
      <w:pPr>
        <w:pStyle w:val="NoSpacing"/>
      </w:pPr>
      <w:r w:rsidRPr="00BB3634">
        <w:t> </w:t>
      </w:r>
    </w:p>
    <w:p w14:paraId="0F1700BB" w14:textId="77777777" w:rsidR="00D743FB" w:rsidRPr="00BB3634" w:rsidRDefault="00D743FB" w:rsidP="000B18E5">
      <w:pPr>
        <w:pStyle w:val="NoSpacing"/>
      </w:pPr>
      <w:r w:rsidRPr="00BB3634">
        <w:t>A generous approach is to be taken to the threshold issue. The relationship between the breach and the impugned evidence may be temporal, contextual, causal or a combination of the three. The connection must be more than tenuous. In </w:t>
      </w:r>
      <w:r w:rsidRPr="00BB3634">
        <w:rPr>
          <w:i/>
        </w:rPr>
        <w:t>Plaha, </w:t>
      </w:r>
      <w:r w:rsidRPr="00BB3634">
        <w:t>a six and a half hour gap between the two statements was sufficient to make out a temporal connection. In </w:t>
      </w:r>
      <w:r w:rsidRPr="00BB3634">
        <w:rPr>
          <w:i/>
        </w:rPr>
        <w:t>Hamilton, </w:t>
      </w:r>
      <w:r w:rsidRPr="00BB3634">
        <w:t>a four-hour gap between the two statements was sufficient to make out a temporal connection: </w:t>
      </w:r>
      <w:r w:rsidRPr="00BB3634">
        <w:rPr>
          <w:i/>
        </w:rPr>
        <w:t>Hamilton </w:t>
      </w:r>
      <w:r w:rsidRPr="00BB3634">
        <w:t>at paras 38-42, 51.</w:t>
      </w:r>
    </w:p>
    <w:p w14:paraId="0083C507" w14:textId="77777777" w:rsidR="00D743FB" w:rsidRPr="00BB3634" w:rsidRDefault="00D743FB" w:rsidP="000B18E5">
      <w:pPr>
        <w:pStyle w:val="NoSpacing"/>
      </w:pPr>
      <w:r w:rsidRPr="00BB3634">
        <w:t> </w:t>
      </w:r>
    </w:p>
    <w:p w14:paraId="5A2A4EC5" w14:textId="77777777" w:rsidR="00D743FB" w:rsidRPr="00BB3634" w:rsidRDefault="00D743FB" w:rsidP="000B18E5">
      <w:pPr>
        <w:pStyle w:val="NoSpacing"/>
      </w:pPr>
      <w:r w:rsidRPr="00BB3634">
        <w:t>The police can make a “fresh start” by clearly severing their subsequent interrogation from the earlier Charter breach. </w:t>
      </w:r>
    </w:p>
    <w:p w14:paraId="241CC25F" w14:textId="77777777" w:rsidR="00D743FB" w:rsidRPr="00BB3634" w:rsidRDefault="00D743FB" w:rsidP="000B18E5">
      <w:pPr>
        <w:pStyle w:val="NoSpacing"/>
      </w:pPr>
      <w:r w:rsidRPr="00BB3634">
        <w:rPr>
          <w:rStyle w:val="wixguard"/>
          <w:bCs w:val="0"/>
        </w:rPr>
        <w:t>​</w:t>
      </w:r>
    </w:p>
    <w:p w14:paraId="7E597D8A" w14:textId="77777777" w:rsidR="00D743FB" w:rsidRPr="00BB3634" w:rsidRDefault="00D743FB" w:rsidP="000B18E5">
      <w:pPr>
        <w:pStyle w:val="NoSpacing"/>
      </w:pPr>
      <w:r w:rsidRPr="00BB3634">
        <w:t>In </w:t>
      </w:r>
      <w:r w:rsidRPr="00BB3634">
        <w:rPr>
          <w:i/>
        </w:rPr>
        <w:t>Hamilton, </w:t>
      </w:r>
      <w:r w:rsidRPr="00BB3634">
        <w:t xml:space="preserve">the Court of Appeal found that the second statement was tainted and should have been excluded in circumstances where the police did not give a </w:t>
      </w:r>
      <w:r w:rsidRPr="00BB3634">
        <w:lastRenderedPageBreak/>
        <w:t>fresh start warning, despite the fact that: the accused received legal advice after the first statement and before he made the second statement; the accused told the second statement officer that he was aware of his right to silence and that duty counsel had told him not to speak to police; the accused was aware of the charges that he faced throughout; during the interview, the second statement officer affirmed the accused's right to silence; and, the second statement officer did not refer to the accused's first statement during his interview with him: </w:t>
      </w:r>
      <w:r w:rsidRPr="00BB3634">
        <w:rPr>
          <w:i/>
        </w:rPr>
        <w:t>Hamilton </w:t>
      </w:r>
      <w:r w:rsidRPr="00BB3634">
        <w:t>at paras 56-59</w:t>
      </w:r>
    </w:p>
    <w:p w14:paraId="7FD5830E" w14:textId="1CFB48A2" w:rsidR="00D743FB" w:rsidRPr="00BB3634" w:rsidRDefault="00D743FB" w:rsidP="00BB3634">
      <w:pPr>
        <w:pStyle w:val="font8"/>
        <w:spacing w:before="0" w:beforeAutospacing="0" w:after="0" w:afterAutospacing="0" w:line="276" w:lineRule="auto"/>
        <w:jc w:val="both"/>
        <w:textAlignment w:val="baseline"/>
        <w:rPr>
          <w:rFonts w:ascii="Arial" w:hAnsi="Arial" w:cs="Arial"/>
          <w:b/>
          <w:bCs/>
          <w:sz w:val="24"/>
          <w:szCs w:val="24"/>
        </w:rPr>
      </w:pPr>
      <w:r w:rsidRPr="00BB3634">
        <w:rPr>
          <w:rStyle w:val="wixguard"/>
          <w:rFonts w:ascii="Arial" w:hAnsi="Arial" w:cs="Arial"/>
          <w:b/>
          <w:bCs/>
          <w:sz w:val="24"/>
          <w:szCs w:val="24"/>
          <w:bdr w:val="none" w:sz="0" w:space="0" w:color="auto" w:frame="1"/>
        </w:rPr>
        <w:t>​</w:t>
      </w:r>
    </w:p>
    <w:p w14:paraId="675A9E98" w14:textId="2F08DCDA" w:rsidR="00D743FB" w:rsidRPr="00BB3634" w:rsidRDefault="00D743FB" w:rsidP="00BB3634">
      <w:pPr>
        <w:pStyle w:val="Heading2"/>
        <w:numPr>
          <w:ilvl w:val="0"/>
          <w:numId w:val="3"/>
        </w:numPr>
        <w:spacing w:line="276" w:lineRule="auto"/>
        <w:ind w:left="360"/>
        <w:rPr>
          <w:rFonts w:cs="Arial"/>
        </w:rPr>
      </w:pPr>
      <w:bookmarkStart w:id="118" w:name="_Toc94360199"/>
      <w:r w:rsidRPr="00BB3634">
        <w:rPr>
          <w:rFonts w:cs="Arial"/>
        </w:rPr>
        <w:t>Prosper Warning</w:t>
      </w:r>
      <w:bookmarkEnd w:id="118"/>
    </w:p>
    <w:p w14:paraId="439AA6AD" w14:textId="77777777" w:rsidR="005956AC" w:rsidRPr="00BB3634" w:rsidRDefault="005956AC" w:rsidP="000B18E5">
      <w:pPr>
        <w:pStyle w:val="NoSpacing"/>
      </w:pPr>
    </w:p>
    <w:p w14:paraId="1A8326C1" w14:textId="3E1B97C8" w:rsidR="00D743FB" w:rsidRPr="00BB3634" w:rsidRDefault="00D743FB" w:rsidP="000B18E5">
      <w:pPr>
        <w:pStyle w:val="NoSpacing"/>
      </w:pPr>
      <w:r w:rsidRPr="00BB3634">
        <w:t>The “Prosper warning” is meant to equip detainees with the information required to know what they are giving up if they waive their right to counsel. A Prosper warning is not required in all cases. It is needed only if a detainee has asserted the right to counsel and then apparently changes his mind after reasonable efforts to contact counsel have been frustrated. In such circumstances, the burden of establishing a waiver of those rights is on the Crown and is a high one, requiring proof of a clear, free and voluntary change of mind made by someone who knew what they were giving up. A proper Prosper warning is therefore significant in enabling the Crown to prove waiver of the right to counsel in such cases.</w:t>
      </w:r>
    </w:p>
    <w:p w14:paraId="3472856B" w14:textId="77777777" w:rsidR="00D743FB" w:rsidRPr="00BB3634" w:rsidRDefault="00D743FB" w:rsidP="000B18E5">
      <w:pPr>
        <w:pStyle w:val="NoSpacing"/>
      </w:pPr>
      <w:r w:rsidRPr="00BB3634">
        <w:t> </w:t>
      </w:r>
    </w:p>
    <w:p w14:paraId="28752267" w14:textId="77777777" w:rsidR="00D743FB" w:rsidRPr="00BB3634" w:rsidRDefault="00D743FB" w:rsidP="000B18E5">
      <w:pPr>
        <w:pStyle w:val="NoSpacing"/>
      </w:pPr>
      <w:r w:rsidRPr="00BB3634">
        <w:t>It is helpful in understanding the Prosper warning to appreciate the rights that are stake when a detainee waives their right to counsel. Specifically, when a detainee asserts their desire to exercise the right to counsel, either expressly or by not waiving their right to counsel, the police are obliged to cease questioning and are under a duty to facilitate the exercise of that right. The temporary obligation to cease questioning also extends to other efforts to elicit evidence from the detainee, and is often referred to as the obligation or duty to “hold off”, since there is no problem in properly using the detainee as a source of evidence after they have exercised or relinquished their right to counsel.</w:t>
      </w:r>
    </w:p>
    <w:p w14:paraId="30B59CAA" w14:textId="77777777" w:rsidR="00D743FB" w:rsidRPr="00BB3634" w:rsidRDefault="00D743FB" w:rsidP="000B18E5">
      <w:pPr>
        <w:pStyle w:val="NoSpacing"/>
      </w:pPr>
      <w:r w:rsidRPr="00BB3634">
        <w:rPr>
          <w:rStyle w:val="wixguard"/>
          <w:bCs w:val="0"/>
        </w:rPr>
        <w:t>​</w:t>
      </w:r>
    </w:p>
    <w:p w14:paraId="4247F807" w14:textId="77777777" w:rsidR="00D743FB" w:rsidRPr="00BB3634" w:rsidRDefault="00D743FB" w:rsidP="000B18E5">
      <w:pPr>
        <w:pStyle w:val="NoSpacing"/>
      </w:pPr>
      <w:r w:rsidRPr="00BB3634">
        <w:t xml:space="preserve">The proper warning imposes an additional informational obligation on police that is triggered once a detainee, who has previously asserted the right to counsel, indicates that he or she has changed his or her mind and no longer wants legal advice. At this point, the police are required to tell the detainee of his right to a reasonable opportunity to contact a lawyer and of the obligation on the part of the police during this time not to take any statements or require the detainee to </w:t>
      </w:r>
      <w:r w:rsidRPr="00BB3634">
        <w:lastRenderedPageBreak/>
        <w:t>participate in any potentially incriminating process until he or she has had that reasonable opportunity.</w:t>
      </w:r>
    </w:p>
    <w:p w14:paraId="5E030F50" w14:textId="77777777" w:rsidR="00D743FB" w:rsidRPr="00BB3634" w:rsidRDefault="00D743FB" w:rsidP="000B18E5">
      <w:pPr>
        <w:pStyle w:val="NoSpacing"/>
      </w:pPr>
      <w:r w:rsidRPr="00BB3634">
        <w:t> </w:t>
      </w:r>
    </w:p>
    <w:p w14:paraId="366F6A0C" w14:textId="77777777" w:rsidR="00D743FB" w:rsidRPr="00BB3634" w:rsidRDefault="00D743FB" w:rsidP="000B18E5">
      <w:pPr>
        <w:pStyle w:val="NoSpacing"/>
      </w:pPr>
      <w:r w:rsidRPr="00BB3634">
        <w:t>If the detainee is not reasonably diligent in exercising the right to counsel, the duty to hold off will be suspended and the police may question the detainee. The obligation on the police to make efforts to facilitate contact with counsel will also be suspended. The right to receive a Prosper warning at the time will also be lost. After all, there is no need to advise a detainee of what they will lose if they waive their right to consult counsel without delay, where the detainee has already forfeited that right by not being reasonably diligent in exercising it: </w:t>
      </w:r>
      <w:r w:rsidRPr="00BB3634">
        <w:rPr>
          <w:i/>
        </w:rPr>
        <w:t>R v Fountain, </w:t>
      </w:r>
      <w:hyperlink r:id="rId319" w:tgtFrame="_blank" w:history="1">
        <w:r w:rsidRPr="00BB3634">
          <w:rPr>
            <w:rStyle w:val="Hyperlink"/>
            <w:bCs w:val="0"/>
            <w:color w:val="auto"/>
          </w:rPr>
          <w:t>2017 ONCA 596</w:t>
        </w:r>
      </w:hyperlink>
      <w:r w:rsidRPr="00BB3634">
        <w:t> at paras 27-30</w:t>
      </w:r>
    </w:p>
    <w:p w14:paraId="2F1D9157" w14:textId="1EF91E94" w:rsidR="00D743FB" w:rsidRPr="00BB3634" w:rsidRDefault="00D743FB" w:rsidP="000B18E5">
      <w:pPr>
        <w:pStyle w:val="NoSpacing"/>
        <w:rPr>
          <w:rStyle w:val="wixguard"/>
          <w:b/>
          <w:bCs w:val="0"/>
        </w:rPr>
      </w:pPr>
      <w:r w:rsidRPr="00BB3634">
        <w:rPr>
          <w:rStyle w:val="wixguard"/>
          <w:b/>
          <w:bCs w:val="0"/>
        </w:rPr>
        <w:t>​</w:t>
      </w:r>
    </w:p>
    <w:p w14:paraId="5616E48A" w14:textId="474A54A1" w:rsidR="005956AC" w:rsidRPr="00BB3634" w:rsidRDefault="005956AC" w:rsidP="000B18E5">
      <w:pPr>
        <w:pStyle w:val="NoSpacing"/>
        <w:rPr>
          <w:rStyle w:val="wixguard"/>
          <w:b/>
          <w:bCs w:val="0"/>
        </w:rPr>
      </w:pPr>
    </w:p>
    <w:p w14:paraId="099D7DCE" w14:textId="77777777" w:rsidR="005956AC" w:rsidRPr="00BB3634" w:rsidRDefault="005956AC" w:rsidP="000B18E5">
      <w:pPr>
        <w:pStyle w:val="NoSpacing"/>
      </w:pPr>
    </w:p>
    <w:p w14:paraId="4BDA3E54" w14:textId="57EB46B4" w:rsidR="00D743FB" w:rsidRPr="00BB3634" w:rsidRDefault="00D743FB" w:rsidP="00BB3634">
      <w:pPr>
        <w:pStyle w:val="Heading2"/>
        <w:numPr>
          <w:ilvl w:val="0"/>
          <w:numId w:val="3"/>
        </w:numPr>
        <w:spacing w:line="276" w:lineRule="auto"/>
        <w:ind w:left="360"/>
        <w:rPr>
          <w:rFonts w:cs="Arial"/>
        </w:rPr>
      </w:pPr>
      <w:bookmarkStart w:id="119" w:name="_Toc94360200"/>
      <w:r w:rsidRPr="00BB3634">
        <w:rPr>
          <w:rFonts w:cs="Arial"/>
        </w:rPr>
        <w:t>Exclusion of Evidence</w:t>
      </w:r>
      <w:bookmarkEnd w:id="119"/>
      <w:r w:rsidRPr="00BB3634">
        <w:rPr>
          <w:rFonts w:cs="Arial"/>
        </w:rPr>
        <w:t> </w:t>
      </w:r>
    </w:p>
    <w:p w14:paraId="0E95F682" w14:textId="77777777" w:rsidR="00D743FB" w:rsidRPr="00BB3634" w:rsidRDefault="00D743FB" w:rsidP="000B18E5">
      <w:pPr>
        <w:pStyle w:val="NoSpacing"/>
      </w:pPr>
      <w:r w:rsidRPr="00BB3634">
        <w:t>A court may exclude evidence not seized as a result of a s.10(b) violation. While the “obtained in a manner” component is usually established where there is a causal connection between the evidence seized and the Charter right violated, this is not always the case. The “obtained in a manner” component also includes temporal and contextual connections: </w:t>
      </w:r>
      <w:r w:rsidRPr="00BB3634">
        <w:rPr>
          <w:i/>
        </w:rPr>
        <w:t>R v Shang En Wu, </w:t>
      </w:r>
      <w:hyperlink r:id="rId320" w:tgtFrame="_blank" w:history="1">
        <w:r w:rsidRPr="00BB3634">
          <w:rPr>
            <w:rStyle w:val="Hyperlink"/>
            <w:bCs w:val="0"/>
            <w:color w:val="auto"/>
          </w:rPr>
          <w:t>2017 ONSC 1003</w:t>
        </w:r>
      </w:hyperlink>
      <w:r w:rsidRPr="00BB3634">
        <w:t>;</w:t>
      </w:r>
      <w:r w:rsidRPr="00BB3634">
        <w:rPr>
          <w:i/>
        </w:rPr>
        <w:t> R v Pino</w:t>
      </w:r>
      <w:r w:rsidRPr="00BB3634">
        <w:t>, </w:t>
      </w:r>
      <w:hyperlink r:id="rId321" w:tgtFrame="_blank" w:history="1">
        <w:r w:rsidRPr="00BB3634">
          <w:rPr>
            <w:rStyle w:val="Hyperlink"/>
            <w:bCs w:val="0"/>
            <w:color w:val="auto"/>
          </w:rPr>
          <w:t>2016 ONCA 389</w:t>
        </w:r>
      </w:hyperlink>
    </w:p>
    <w:p w14:paraId="2A1E9279" w14:textId="77777777" w:rsidR="00D743FB" w:rsidRPr="00BB3634" w:rsidRDefault="00D743FB" w:rsidP="00BB3634">
      <w:pPr>
        <w:pStyle w:val="font8"/>
        <w:spacing w:before="0" w:beforeAutospacing="0" w:after="0" w:afterAutospacing="0" w:line="276" w:lineRule="auto"/>
        <w:textAlignment w:val="baseline"/>
        <w:rPr>
          <w:rStyle w:val="wixguard"/>
          <w:rFonts w:ascii="Arial" w:hAnsi="Arial" w:cs="Arial"/>
          <w:b/>
          <w:bCs/>
          <w:sz w:val="24"/>
          <w:szCs w:val="24"/>
          <w:bdr w:val="none" w:sz="0" w:space="0" w:color="auto" w:frame="1"/>
        </w:rPr>
      </w:pPr>
      <w:r w:rsidRPr="00BB3634">
        <w:rPr>
          <w:rStyle w:val="wixguard"/>
          <w:rFonts w:ascii="Arial" w:hAnsi="Arial" w:cs="Arial"/>
          <w:b/>
          <w:bCs/>
          <w:sz w:val="24"/>
          <w:szCs w:val="24"/>
          <w:bdr w:val="none" w:sz="0" w:space="0" w:color="auto" w:frame="1"/>
        </w:rPr>
        <w:t>​</w:t>
      </w:r>
    </w:p>
    <w:p w14:paraId="50B5B3A4" w14:textId="29EF71D6" w:rsidR="00C47E9F" w:rsidRDefault="00C47E9F" w:rsidP="000B18E5">
      <w:pPr>
        <w:pStyle w:val="NoSpacing"/>
      </w:pPr>
      <w:r w:rsidRPr="00BB3634">
        <w:t xml:space="preserve">An officers’ ignorance of the very well-entrenched rights of an accused to immediate access to counsel puts their conduct on the very serious end of the spectrum under the first branch of the </w:t>
      </w:r>
      <w:r w:rsidRPr="00BB3634">
        <w:rPr>
          <w:i/>
        </w:rPr>
        <w:t xml:space="preserve">Grant </w:t>
      </w:r>
      <w:r w:rsidRPr="00BB3634">
        <w:t xml:space="preserve">analysis: </w:t>
      </w:r>
      <w:r w:rsidRPr="00BB3634">
        <w:rPr>
          <w:i/>
        </w:rPr>
        <w:t xml:space="preserve">R v La, </w:t>
      </w:r>
      <w:hyperlink r:id="rId322" w:anchor="_ftn1" w:history="1">
        <w:r w:rsidRPr="00BB3634">
          <w:rPr>
            <w:rStyle w:val="Hyperlink"/>
          </w:rPr>
          <w:t>2018 ONCA 830</w:t>
        </w:r>
      </w:hyperlink>
      <w:r w:rsidRPr="00BB3634">
        <w:t xml:space="preserve">, </w:t>
      </w:r>
      <w:r w:rsidRPr="00BB3634">
        <w:rPr>
          <w:i/>
        </w:rPr>
        <w:t xml:space="preserve"> </w:t>
      </w:r>
      <w:r w:rsidRPr="00BB3634">
        <w:t>at para 45</w:t>
      </w:r>
      <w:r w:rsidR="00DE03BA">
        <w:t xml:space="preserve">. So too does officers’ simple neglect of those rights: </w:t>
      </w:r>
      <w:r w:rsidR="00DE03BA">
        <w:rPr>
          <w:i/>
          <w:iCs w:val="0"/>
        </w:rPr>
        <w:t xml:space="preserve">R v Jarrett, </w:t>
      </w:r>
      <w:hyperlink r:id="rId323" w:anchor="_ftnref4" w:history="1">
        <w:r w:rsidR="00DE03BA" w:rsidRPr="00BF508E">
          <w:rPr>
            <w:rStyle w:val="Hyperlink"/>
          </w:rPr>
          <w:t>2021 ONCA 733</w:t>
        </w:r>
      </w:hyperlink>
      <w:r w:rsidR="00DE03BA">
        <w:t>, at paras</w:t>
      </w:r>
      <w:r w:rsidR="00BF508E">
        <w:t xml:space="preserve"> 46-50</w:t>
      </w:r>
    </w:p>
    <w:p w14:paraId="61EEDB0F" w14:textId="2356B0C2" w:rsidR="00663FB5" w:rsidRDefault="00663FB5" w:rsidP="000B18E5">
      <w:pPr>
        <w:pStyle w:val="NoSpacing"/>
      </w:pPr>
    </w:p>
    <w:p w14:paraId="3D680E9F" w14:textId="77777777" w:rsidR="00663FB5" w:rsidRPr="00BB3634" w:rsidRDefault="00663FB5" w:rsidP="00663FB5">
      <w:pPr>
        <w:pStyle w:val="NoSpacing"/>
      </w:pPr>
      <w:r w:rsidRPr="00BB3634">
        <w:t>The seriousness of a s.10(b) breach cannot be attenuated by the fact that:</w:t>
      </w:r>
    </w:p>
    <w:p w14:paraId="5C05BBF5" w14:textId="77777777" w:rsidR="00663FB5" w:rsidRPr="00BB3634" w:rsidRDefault="00663FB5" w:rsidP="00E32F34">
      <w:pPr>
        <w:pStyle w:val="NoSpacing"/>
        <w:numPr>
          <w:ilvl w:val="0"/>
          <w:numId w:val="56"/>
        </w:numPr>
      </w:pPr>
      <w:r w:rsidRPr="00BB3634">
        <w:t xml:space="preserve">the police do not commit an additional breach by attempting to solicit information prior to facilitating rights to counsel: </w:t>
      </w:r>
    </w:p>
    <w:p w14:paraId="630889CE" w14:textId="77777777" w:rsidR="00663FB5" w:rsidRPr="00BB3634" w:rsidRDefault="00663FB5" w:rsidP="00E32F34">
      <w:pPr>
        <w:pStyle w:val="NoSpacing"/>
        <w:numPr>
          <w:ilvl w:val="0"/>
          <w:numId w:val="56"/>
        </w:numPr>
      </w:pPr>
      <w:r w:rsidRPr="00BB3634">
        <w:t>the right to counsel is delayed, as opposed to denied altogether</w:t>
      </w:r>
    </w:p>
    <w:p w14:paraId="4FC7C1F1" w14:textId="1C3E08C5" w:rsidR="00663FB5" w:rsidRPr="00DE03BA" w:rsidRDefault="00663FB5" w:rsidP="00E32F34">
      <w:pPr>
        <w:pStyle w:val="NoSpacing"/>
        <w:numPr>
          <w:ilvl w:val="0"/>
          <w:numId w:val="56"/>
        </w:numPr>
      </w:pPr>
      <w:r w:rsidRPr="00BB3634">
        <w:t xml:space="preserve">the accused does not demonstrate that the delay occasioned a failure to have a meaningful conversation with counsel: </w:t>
      </w:r>
      <w:r w:rsidRPr="00BB3634">
        <w:rPr>
          <w:i/>
        </w:rPr>
        <w:t xml:space="preserve">R v Noel, </w:t>
      </w:r>
      <w:hyperlink r:id="rId324" w:history="1">
        <w:r w:rsidRPr="00BB3634">
          <w:rPr>
            <w:rStyle w:val="Hyperlink"/>
          </w:rPr>
          <w:t>2019 ONCA 860,</w:t>
        </w:r>
      </w:hyperlink>
      <w:r w:rsidRPr="00BB3634">
        <w:t xml:space="preserve"> at paras 19-22</w:t>
      </w:r>
    </w:p>
    <w:p w14:paraId="6A30B1E4" w14:textId="77777777" w:rsidR="00A275B5" w:rsidRPr="00BB3634" w:rsidRDefault="00A275B5" w:rsidP="000B18E5">
      <w:pPr>
        <w:pStyle w:val="NoSpacing"/>
        <w:rPr>
          <w:rStyle w:val="wixguard"/>
          <w:bCs w:val="0"/>
        </w:rPr>
      </w:pPr>
    </w:p>
    <w:p w14:paraId="1A96A7DE" w14:textId="6195ADA5" w:rsidR="00BF508E" w:rsidRPr="00BF508E" w:rsidRDefault="00B81829" w:rsidP="00663FB5">
      <w:pPr>
        <w:pStyle w:val="NoSpacing"/>
      </w:pPr>
      <w:r w:rsidRPr="00BB3634">
        <w:rPr>
          <w:rStyle w:val="wixguard"/>
          <w:bCs w:val="0"/>
        </w:rPr>
        <w:t xml:space="preserve">On the second branch of the Grant analysis, a trial judge must </w:t>
      </w:r>
      <w:r w:rsidR="00C47E9F" w:rsidRPr="00BB3634">
        <w:t xml:space="preserve">consider the extent to which the s. 10(b) breach undermined all the interests it protects, </w:t>
      </w:r>
      <w:r w:rsidR="00C47E9F" w:rsidRPr="00BB3634">
        <w:rPr>
          <w:i/>
        </w:rPr>
        <w:lastRenderedPageBreak/>
        <w:t>regardless</w:t>
      </w:r>
      <w:r w:rsidR="00C47E9F" w:rsidRPr="00BB3634">
        <w:t xml:space="preserve"> of whether the police succeeded in obtaining an incriminating statement from the </w:t>
      </w:r>
      <w:r w:rsidRPr="00BB3634">
        <w:t>accused</w:t>
      </w:r>
      <w:r w:rsidR="00C47E9F" w:rsidRPr="00BB3634">
        <w:t xml:space="preserve">.  Those interests go well beyond the </w:t>
      </w:r>
      <w:r w:rsidRPr="00BB3634">
        <w:t>accused’s</w:t>
      </w:r>
      <w:r w:rsidR="00C47E9F" w:rsidRPr="00BB3634">
        <w:t xml:space="preserve"> fair trial rights as considered by the trial judge and include the vulnerability of an arrested accused who requires the immediate ability to consult with a lawyer to obtain counsel, not just for legal advice, but as a lifeline to the outside world</w:t>
      </w:r>
      <w:r w:rsidR="00BF508E">
        <w:t>. The psychological value of access to counsel without delay should not be underestimated</w:t>
      </w:r>
      <w:r w:rsidR="00C47E9F" w:rsidRPr="00BB3634">
        <w:t>: </w:t>
      </w:r>
      <w:r w:rsidR="001954C4" w:rsidRPr="00BB3634">
        <w:rPr>
          <w:i/>
        </w:rPr>
        <w:t xml:space="preserve">R v </w:t>
      </w:r>
      <w:r w:rsidR="00C47E9F" w:rsidRPr="00BB3634">
        <w:rPr>
          <w:i/>
        </w:rPr>
        <w:t>Pino</w:t>
      </w:r>
      <w:r w:rsidR="00C47E9F" w:rsidRPr="00BB3634">
        <w:t>,</w:t>
      </w:r>
      <w:r w:rsidR="001954C4" w:rsidRPr="00BB3634">
        <w:t xml:space="preserve"> 2016 ONCA 389,</w:t>
      </w:r>
      <w:r w:rsidR="00C47E9F" w:rsidRPr="00BB3634">
        <w:t xml:space="preserve"> at para. 105; </w:t>
      </w:r>
      <w:r w:rsidR="001954C4" w:rsidRPr="00BB3634">
        <w:rPr>
          <w:i/>
        </w:rPr>
        <w:t xml:space="preserve">R v </w:t>
      </w:r>
      <w:r w:rsidR="00C47E9F" w:rsidRPr="00BB3634">
        <w:rPr>
          <w:i/>
        </w:rPr>
        <w:t>Rover</w:t>
      </w:r>
      <w:r w:rsidRPr="00BB3634">
        <w:t xml:space="preserve">, </w:t>
      </w:r>
      <w:r w:rsidR="001954C4" w:rsidRPr="00BB3634">
        <w:t xml:space="preserve">2018 ONCA 745 </w:t>
      </w:r>
      <w:r w:rsidRPr="00BB3634">
        <w:t xml:space="preserve">at para. 45; </w:t>
      </w:r>
      <w:r w:rsidRPr="00BB3634">
        <w:rPr>
          <w:i/>
        </w:rPr>
        <w:t xml:space="preserve">La </w:t>
      </w:r>
      <w:r w:rsidRPr="00BB3634">
        <w:t>at para 48</w:t>
      </w:r>
      <w:r w:rsidR="00BF508E">
        <w:t xml:space="preserve">; </w:t>
      </w:r>
      <w:r w:rsidR="00BF508E">
        <w:rPr>
          <w:i/>
          <w:iCs w:val="0"/>
        </w:rPr>
        <w:t xml:space="preserve">R v Jarrett, </w:t>
      </w:r>
      <w:hyperlink r:id="rId325" w:anchor="_ftnref4" w:history="1">
        <w:r w:rsidR="00BF508E" w:rsidRPr="00BF508E">
          <w:rPr>
            <w:rStyle w:val="Hyperlink"/>
          </w:rPr>
          <w:t>2021 ONCA 733</w:t>
        </w:r>
      </w:hyperlink>
      <w:r w:rsidR="00BF508E">
        <w:t>, at para</w:t>
      </w:r>
      <w:r w:rsidR="00663FB5">
        <w:t>s</w:t>
      </w:r>
      <w:r w:rsidR="00BF508E">
        <w:t xml:space="preserve"> 52</w:t>
      </w:r>
      <w:r w:rsidR="00663FB5">
        <w:t>-55</w:t>
      </w:r>
    </w:p>
    <w:p w14:paraId="13532808" w14:textId="77777777" w:rsidR="00BF508E" w:rsidRPr="00BF508E" w:rsidRDefault="00BF508E" w:rsidP="000B18E5">
      <w:pPr>
        <w:pStyle w:val="NoSpacing"/>
      </w:pPr>
    </w:p>
    <w:p w14:paraId="6074EF63" w14:textId="77777777" w:rsidR="00C47E9F" w:rsidRPr="00BB3634" w:rsidRDefault="00C47E9F" w:rsidP="00BB3634">
      <w:pPr>
        <w:pStyle w:val="font8"/>
        <w:spacing w:before="0" w:beforeAutospacing="0" w:after="0" w:afterAutospacing="0" w:line="276" w:lineRule="auto"/>
        <w:textAlignment w:val="baseline"/>
        <w:rPr>
          <w:rFonts w:ascii="Arial" w:hAnsi="Arial" w:cs="Arial"/>
          <w:b/>
          <w:bCs/>
          <w:sz w:val="24"/>
          <w:szCs w:val="24"/>
        </w:rPr>
      </w:pPr>
    </w:p>
    <w:p w14:paraId="67853DC4" w14:textId="5795B428" w:rsidR="00E55FD7" w:rsidRPr="00BB3634" w:rsidRDefault="00D743FB" w:rsidP="000B18E5">
      <w:pPr>
        <w:pStyle w:val="NoSpacing"/>
      </w:pPr>
      <w:r w:rsidRPr="00BB3634">
        <w:rPr>
          <w:rStyle w:val="wixguard"/>
        </w:rPr>
        <w:t>​</w:t>
      </w:r>
      <w:r w:rsidR="00E55FD7" w:rsidRPr="00BB3634">
        <w:t>The impact on the accused’s </w:t>
      </w:r>
      <w:r w:rsidR="00E55FD7" w:rsidRPr="00BB3634">
        <w:rPr>
          <w:i/>
        </w:rPr>
        <w:t>Charter</w:t>
      </w:r>
      <w:r w:rsidR="00E55FD7" w:rsidRPr="00BB3634">
        <w:t>-protected interests may be reduced if it is clear that the detainee would have made the statement in question notwithstanding the </w:t>
      </w:r>
      <w:r w:rsidR="00E55FD7" w:rsidRPr="00BB3634">
        <w:rPr>
          <w:i/>
        </w:rPr>
        <w:t>Charter </w:t>
      </w:r>
      <w:r w:rsidR="00E55FD7" w:rsidRPr="00BB3634">
        <w:t>breach: </w:t>
      </w:r>
      <w:r w:rsidR="00E55FD7" w:rsidRPr="00BB3634">
        <w:rPr>
          <w:i/>
        </w:rPr>
        <w:t xml:space="preserve">R v Miller, </w:t>
      </w:r>
      <w:hyperlink r:id="rId326" w:history="1">
        <w:r w:rsidR="00E55FD7" w:rsidRPr="00BB3634">
          <w:rPr>
            <w:rStyle w:val="Hyperlink"/>
          </w:rPr>
          <w:t>2018 ONCA 942</w:t>
        </w:r>
      </w:hyperlink>
      <w:r w:rsidR="00E55FD7" w:rsidRPr="00BB3634">
        <w:t>, at para 21</w:t>
      </w:r>
    </w:p>
    <w:p w14:paraId="71E5FD1A" w14:textId="77777777" w:rsidR="00D743FB" w:rsidRPr="00BB3634" w:rsidRDefault="00D743FB" w:rsidP="00BB3634">
      <w:pPr>
        <w:pStyle w:val="font7"/>
        <w:spacing w:before="0" w:beforeAutospacing="0" w:after="0" w:afterAutospacing="0" w:line="276" w:lineRule="auto"/>
        <w:jc w:val="both"/>
        <w:textAlignment w:val="baseline"/>
        <w:rPr>
          <w:rFonts w:ascii="Arial" w:hAnsi="Arial" w:cs="Arial"/>
          <w:sz w:val="24"/>
          <w:szCs w:val="24"/>
        </w:rPr>
      </w:pPr>
    </w:p>
    <w:p w14:paraId="308131DD" w14:textId="310D5C04" w:rsidR="00D743FB" w:rsidRPr="00BB3634" w:rsidRDefault="009C2A75" w:rsidP="00BB3634">
      <w:pPr>
        <w:pStyle w:val="Heading1"/>
        <w:spacing w:line="276" w:lineRule="auto"/>
        <w:rPr>
          <w:sz w:val="24"/>
          <w:szCs w:val="24"/>
        </w:rPr>
      </w:pPr>
      <w:bookmarkStart w:id="120" w:name="_Toc94360201"/>
      <w:r w:rsidRPr="00BB3634">
        <w:rPr>
          <w:sz w:val="24"/>
          <w:szCs w:val="24"/>
        </w:rPr>
        <w:t>SECTION 11(B)</w:t>
      </w:r>
      <w:bookmarkEnd w:id="120"/>
    </w:p>
    <w:p w14:paraId="6762C9C5" w14:textId="7AB279FA" w:rsidR="00D743FB" w:rsidRPr="00BB3634" w:rsidRDefault="00D743FB" w:rsidP="00BB3634">
      <w:pPr>
        <w:pStyle w:val="Heading2"/>
        <w:numPr>
          <w:ilvl w:val="0"/>
          <w:numId w:val="5"/>
        </w:numPr>
        <w:spacing w:line="276" w:lineRule="auto"/>
        <w:ind w:left="360"/>
        <w:rPr>
          <w:rFonts w:cs="Arial"/>
        </w:rPr>
      </w:pPr>
      <w:bookmarkStart w:id="121" w:name="_Toc94360202"/>
      <w:r w:rsidRPr="00BB3634">
        <w:rPr>
          <w:rFonts w:cs="Arial"/>
        </w:rPr>
        <w:t>The Test</w:t>
      </w:r>
      <w:bookmarkEnd w:id="121"/>
    </w:p>
    <w:p w14:paraId="40FF283D" w14:textId="17121629" w:rsidR="00492167" w:rsidRPr="00492167" w:rsidRDefault="00492167" w:rsidP="000B18E5">
      <w:pPr>
        <w:pStyle w:val="NoSpacing"/>
      </w:pPr>
      <w:r w:rsidRPr="00492167">
        <w:t xml:space="preserve">s. 11(b) </w:t>
      </w:r>
      <w:r>
        <w:t>is</w:t>
      </w:r>
      <w:r w:rsidRPr="00492167">
        <w:t xml:space="preserve"> being engaged during any period that an accused person is in fact subject to charges, or when a person no longer actively charged remains subject to the very real prospect of new charges</w:t>
      </w:r>
      <w:r>
        <w:t xml:space="preserve">: </w:t>
      </w:r>
      <w:r>
        <w:rPr>
          <w:i/>
        </w:rPr>
        <w:t xml:space="preserve">R v Wookey, </w:t>
      </w:r>
      <w:hyperlink r:id="rId327" w:history="1">
        <w:r w:rsidRPr="00492167">
          <w:rPr>
            <w:rStyle w:val="Hyperlink"/>
          </w:rPr>
          <w:t>2021 ONCA 68</w:t>
        </w:r>
      </w:hyperlink>
      <w:r>
        <w:t>, at para 56</w:t>
      </w:r>
    </w:p>
    <w:p w14:paraId="7259FC16" w14:textId="77777777" w:rsidR="00492167" w:rsidRDefault="00492167" w:rsidP="000B18E5">
      <w:pPr>
        <w:pStyle w:val="NoSpacing"/>
      </w:pPr>
    </w:p>
    <w:p w14:paraId="53E36647" w14:textId="7DE91866" w:rsidR="00D743FB" w:rsidRPr="00BB3634" w:rsidRDefault="00D743FB" w:rsidP="000B18E5">
      <w:pPr>
        <w:pStyle w:val="NoSpacing"/>
      </w:pPr>
      <w:r w:rsidRPr="00BB3634">
        <w:t xml:space="preserve">In </w:t>
      </w:r>
      <w:r w:rsidRPr="00BB3634">
        <w:rPr>
          <w:i/>
        </w:rPr>
        <w:t>R v Jordan</w:t>
      </w:r>
      <w:r w:rsidRPr="00BB3634">
        <w:t xml:space="preserve">, </w:t>
      </w:r>
      <w:r w:rsidRPr="00BB3634">
        <w:rPr>
          <w:u w:val="single"/>
        </w:rPr>
        <w:t>2016 SCC 27</w:t>
      </w:r>
      <w:r w:rsidRPr="00BB3634">
        <w:t>, the Supreme Court of Canada created a new s.11(b) framework, which is based upon a presumptive ceiling that defines unreasonable delay. The presumptive ceiling is set at 30 months for cases going to trial in the superior court</w:t>
      </w:r>
      <w:r w:rsidR="006E53E3" w:rsidRPr="00BB3634">
        <w:t xml:space="preserve"> and 18 months for cases going to trial in the Ontario court of justice</w:t>
      </w:r>
      <w:r w:rsidRPr="00BB3634">
        <w:t>; beyond this ceiling, delay becomes “presumptively unreasonable" (para 46). </w:t>
      </w:r>
    </w:p>
    <w:p w14:paraId="4839817C" w14:textId="61295B52" w:rsidR="002F5FC5" w:rsidRPr="00BB3634" w:rsidRDefault="002F5FC5" w:rsidP="000B18E5">
      <w:pPr>
        <w:pStyle w:val="NoSpacing"/>
      </w:pPr>
    </w:p>
    <w:p w14:paraId="0AA13A80" w14:textId="249DE2B7" w:rsidR="002F5FC5" w:rsidRPr="00BB3634" w:rsidRDefault="002F5FC5" w:rsidP="000B18E5">
      <w:pPr>
        <w:pStyle w:val="NoSpacing"/>
      </w:pPr>
      <w:r w:rsidRPr="00BB3634">
        <w:t xml:space="preserve">The presumptive ceiling </w:t>
      </w:r>
      <w:r w:rsidR="0060400A" w:rsidRPr="00BB3634">
        <w:t xml:space="preserve">for cases going to trial in the superior court does not change when an indictable matter proceeds directly to the superior court without a preliminary inquiry. Nor does preferring an indictment lower the presumptive ceiling: </w:t>
      </w:r>
      <w:r w:rsidR="0060400A" w:rsidRPr="00BB3634">
        <w:rPr>
          <w:i/>
        </w:rPr>
        <w:t xml:space="preserve">R v Bulhosen, </w:t>
      </w:r>
      <w:hyperlink r:id="rId328" w:history="1">
        <w:r w:rsidR="0060400A" w:rsidRPr="00BB3634">
          <w:rPr>
            <w:rStyle w:val="Hyperlink"/>
          </w:rPr>
          <w:t>2019 ONCA 600</w:t>
        </w:r>
      </w:hyperlink>
      <w:r w:rsidR="0060400A" w:rsidRPr="00BB3634">
        <w:t>, at paras 67-72; 86-94</w:t>
      </w:r>
    </w:p>
    <w:p w14:paraId="55D79838" w14:textId="01A478A2" w:rsidR="00D743FB" w:rsidRPr="00BB3634" w:rsidRDefault="00D743FB" w:rsidP="000B18E5">
      <w:pPr>
        <w:pStyle w:val="NoSpacing"/>
      </w:pPr>
    </w:p>
    <w:p w14:paraId="1DB49720" w14:textId="572174F9" w:rsidR="006E53E3" w:rsidRPr="00BB3634" w:rsidRDefault="006E53E3" w:rsidP="000B18E5">
      <w:pPr>
        <w:pStyle w:val="NoSpacing"/>
      </w:pPr>
      <w:r w:rsidRPr="00BB3634">
        <w:lastRenderedPageBreak/>
        <w:t xml:space="preserve">Cases going to trial in the superior court for which no preliminary inquiry has been held are still subject to the 30 month ceiling: </w:t>
      </w:r>
      <w:r w:rsidRPr="00BB3634">
        <w:rPr>
          <w:i/>
        </w:rPr>
        <w:t xml:space="preserve">R v Bulhosen, </w:t>
      </w:r>
      <w:hyperlink r:id="rId329" w:history="1">
        <w:r w:rsidRPr="00BB3634">
          <w:rPr>
            <w:rStyle w:val="Hyperlink"/>
          </w:rPr>
          <w:t>2019 ONCA 600</w:t>
        </w:r>
      </w:hyperlink>
      <w:r w:rsidRPr="00BB3634">
        <w:t>, at paras 67-72</w:t>
      </w:r>
    </w:p>
    <w:p w14:paraId="64112AD1" w14:textId="4CF94632" w:rsidR="006E53E3" w:rsidRDefault="006E53E3" w:rsidP="000B18E5">
      <w:pPr>
        <w:pStyle w:val="NoSpacing"/>
      </w:pPr>
    </w:p>
    <w:p w14:paraId="2A5F7518" w14:textId="77777777" w:rsidR="00C27569" w:rsidRPr="00BB3634" w:rsidRDefault="00C27569" w:rsidP="000B18E5">
      <w:pPr>
        <w:pStyle w:val="NoSpacing"/>
      </w:pPr>
      <w:r w:rsidRPr="00BB3634">
        <w:t>Once the presumptive ceiling is exceeded, the burden shifts to the Crown to rebut the presumption that the delay is unreasonable. In order to do so, the Crown must establish that there were exceptional circumstances outside of their control, and that these circumstances were both (1) reasonably unforeseeable or reasonably unavoidable and (2) the Crown could not reasonably remedy the delays once they occurred. In other words, the Crown must prove that it took “reasonable available steps to avoid and address the problem before the delay exceeded the ceiling" (</w:t>
      </w:r>
      <w:r w:rsidRPr="00BB3634">
        <w:rPr>
          <w:i/>
        </w:rPr>
        <w:t>Jordan</w:t>
      </w:r>
      <w:r w:rsidRPr="00BB3634">
        <w:t xml:space="preserve"> at paras 69-70). </w:t>
      </w:r>
    </w:p>
    <w:p w14:paraId="1206CFD2" w14:textId="4B130BCA" w:rsidR="00C27569" w:rsidRDefault="00C27569" w:rsidP="000B18E5">
      <w:pPr>
        <w:pStyle w:val="NoSpacing"/>
      </w:pPr>
    </w:p>
    <w:p w14:paraId="08D09CA6" w14:textId="71AC38FB" w:rsidR="00C27569" w:rsidRDefault="00C27569" w:rsidP="000B18E5">
      <w:pPr>
        <w:pStyle w:val="NoSpacing"/>
      </w:pPr>
      <w:r w:rsidRPr="00BB3634">
        <w:t xml:space="preserve">In addition, under </w:t>
      </w:r>
      <w:r w:rsidRPr="00BB3634">
        <w:rPr>
          <w:i/>
        </w:rPr>
        <w:t>Jordan</w:t>
      </w:r>
      <w:r w:rsidRPr="00BB3634">
        <w:t>, “prejudice will no longer play an explicit role in the s. 11(b) analysis,” Once the ceiling is breached, the accused person is presumed to have suffered prejudice to his Charter-protected liberty, security of the person, and fair trial interests (</w:t>
      </w:r>
      <w:r w:rsidRPr="00BB3634">
        <w:rPr>
          <w:i/>
        </w:rPr>
        <w:t>Jordan</w:t>
      </w:r>
      <w:r w:rsidRPr="00BB3634">
        <w:t>, para 54). </w:t>
      </w:r>
    </w:p>
    <w:p w14:paraId="7712EFEA" w14:textId="77777777" w:rsidR="00900BA7" w:rsidRDefault="00900BA7" w:rsidP="000B18E5">
      <w:pPr>
        <w:pStyle w:val="NoSpacing"/>
      </w:pPr>
    </w:p>
    <w:p w14:paraId="2BFB4409" w14:textId="3E16985A" w:rsidR="00900BA7" w:rsidRDefault="00900BA7" w:rsidP="000B18E5">
      <w:pPr>
        <w:pStyle w:val="NoSpacing"/>
      </w:pPr>
      <w:r w:rsidRPr="00900BA7">
        <w:t>It matters not which level of government is at fault. The only question from the </w:t>
      </w:r>
      <w:r w:rsidRPr="00900BA7">
        <w:rPr>
          <w:i/>
        </w:rPr>
        <w:t>Charter’s</w:t>
      </w:r>
      <w:r w:rsidRPr="00900BA7">
        <w:t> perspective is whether the delay is unacceptable in accordance with the </w:t>
      </w:r>
      <w:r w:rsidRPr="00900BA7">
        <w:rPr>
          <w:i/>
        </w:rPr>
        <w:t>Jordan</w:t>
      </w:r>
      <w:r w:rsidRPr="00900BA7">
        <w:t> principles. The court’s focus in the analysis must be on the right-holder, not on the Crown: </w:t>
      </w:r>
      <w:r>
        <w:rPr>
          <w:i/>
        </w:rPr>
        <w:t xml:space="preserve">R v Villanti, </w:t>
      </w:r>
      <w:hyperlink r:id="rId330" w:history="1">
        <w:r w:rsidRPr="00900BA7">
          <w:rPr>
            <w:rStyle w:val="Hyperlink"/>
          </w:rPr>
          <w:t>2020 ONCA 755</w:t>
        </w:r>
      </w:hyperlink>
      <w:r>
        <w:t>, at paras 44-45</w:t>
      </w:r>
    </w:p>
    <w:p w14:paraId="03DF94AF" w14:textId="3357A4D6" w:rsidR="00793EC8" w:rsidRDefault="00793EC8" w:rsidP="000B18E5">
      <w:pPr>
        <w:pStyle w:val="NoSpacing"/>
      </w:pPr>
    </w:p>
    <w:p w14:paraId="704C7BE0" w14:textId="4FB16D89" w:rsidR="00793EC8" w:rsidRDefault="00793EC8" w:rsidP="000B18E5">
      <w:pPr>
        <w:pStyle w:val="NoSpacing"/>
      </w:pPr>
      <w:r w:rsidRPr="00793EC8">
        <w:t> Crown counsel must be alive to the fact that any delay resulting from their prosecutorial discretion must conform to the accused’s s. 11 (</w:t>
      </w:r>
      <w:r w:rsidRPr="00793EC8">
        <w:rPr>
          <w:i/>
        </w:rPr>
        <w:t>b</w:t>
      </w:r>
      <w:r w:rsidRPr="00793EC8">
        <w:t>) right</w:t>
      </w:r>
      <w:r>
        <w:t xml:space="preserve">. For example, in </w:t>
      </w:r>
      <w:r>
        <w:rPr>
          <w:i/>
        </w:rPr>
        <w:t xml:space="preserve">Thanabalasingham, </w:t>
      </w:r>
      <w:r>
        <w:t xml:space="preserve">the SCC held that the Crown’s exercise of prosecutorial discretion leading to a preliminary hearing that lasted a year was not to be treated as a discreet exceptional event, but was delay that fell at the feet of the Crown: </w:t>
      </w:r>
      <w:hyperlink r:id="rId331" w:history="1">
        <w:r w:rsidRPr="00793EC8">
          <w:rPr>
            <w:rStyle w:val="Hyperlink"/>
          </w:rPr>
          <w:t>2020 SCC 18</w:t>
        </w:r>
      </w:hyperlink>
    </w:p>
    <w:p w14:paraId="64C40FD0" w14:textId="509F7FBE" w:rsidR="00793EC8" w:rsidRDefault="00793EC8" w:rsidP="000B18E5">
      <w:pPr>
        <w:pStyle w:val="NoSpacing"/>
      </w:pPr>
    </w:p>
    <w:p w14:paraId="2245A9BA" w14:textId="1CA1BDD6" w:rsidR="00793EC8" w:rsidRPr="00793EC8" w:rsidRDefault="00793EC8" w:rsidP="000B18E5">
      <w:pPr>
        <w:pStyle w:val="NoSpacing"/>
        <w:rPr>
          <w:i/>
        </w:rPr>
      </w:pPr>
      <w:r w:rsidRPr="00793EC8">
        <w:t> Crown counsel is tasked with making reasonable and responsible decisions regarding who to prosecute and for what, delivering on their disclosure obligations promptly with the cooperation of police, creating plans for complex prosecutions, and using court time efficiently</w:t>
      </w:r>
      <w:r>
        <w:t xml:space="preserve">: </w:t>
      </w:r>
      <w:r>
        <w:rPr>
          <w:i/>
        </w:rPr>
        <w:t xml:space="preserve">R v Thanabalasingham, </w:t>
      </w:r>
      <w:hyperlink r:id="rId332" w:history="1">
        <w:r w:rsidRPr="00793EC8">
          <w:rPr>
            <w:rStyle w:val="Hyperlink"/>
          </w:rPr>
          <w:t>2020 SCC 18</w:t>
        </w:r>
      </w:hyperlink>
    </w:p>
    <w:p w14:paraId="11F48C6B" w14:textId="77777777" w:rsidR="00793EC8" w:rsidRPr="00793EC8" w:rsidRDefault="00793EC8" w:rsidP="000B18E5">
      <w:pPr>
        <w:pStyle w:val="NoSpacing"/>
      </w:pPr>
    </w:p>
    <w:p w14:paraId="34B830CE" w14:textId="0CCFCEAC" w:rsidR="00C27569" w:rsidRPr="00BB3634" w:rsidRDefault="00492167" w:rsidP="000B18E5">
      <w:pPr>
        <w:pStyle w:val="NoSpacing"/>
      </w:pPr>
      <w:r>
        <w:t xml:space="preserve">The </w:t>
      </w:r>
      <w:r w:rsidR="00693639">
        <w:t>presumptive ceiling</w:t>
      </w:r>
      <w:r>
        <w:t xml:space="preserve"> of 18 months</w:t>
      </w:r>
      <w:r w:rsidR="00693639">
        <w:t xml:space="preserve"> </w:t>
      </w:r>
      <w:r>
        <w:t xml:space="preserve">applies to all cases that proceed to trial in the provincial court, including when the accused re-elects trial in the provincial court after having originally elected to have a preliminary inquiry and trial in the Superior Court: </w:t>
      </w:r>
      <w:r>
        <w:rPr>
          <w:i/>
        </w:rPr>
        <w:t xml:space="preserve">R v </w:t>
      </w:r>
      <w:r w:rsidR="00693639">
        <w:rPr>
          <w:i/>
        </w:rPr>
        <w:t xml:space="preserve">Wookey, </w:t>
      </w:r>
      <w:r w:rsidR="00693639">
        <w:t>2021 ONCA 58, at paras 61-76</w:t>
      </w:r>
    </w:p>
    <w:p w14:paraId="39D07D80" w14:textId="7B20014D" w:rsidR="00C27569" w:rsidRDefault="00C27569" w:rsidP="00C27569">
      <w:pPr>
        <w:pStyle w:val="Heading2"/>
        <w:numPr>
          <w:ilvl w:val="0"/>
          <w:numId w:val="5"/>
        </w:numPr>
        <w:spacing w:line="276" w:lineRule="auto"/>
        <w:ind w:left="360"/>
      </w:pPr>
      <w:bookmarkStart w:id="122" w:name="_Toc94360203"/>
      <w:r w:rsidRPr="00C27569">
        <w:rPr>
          <w:rFonts w:cs="Arial"/>
        </w:rPr>
        <w:lastRenderedPageBreak/>
        <w:t>Defence</w:t>
      </w:r>
      <w:r>
        <w:t xml:space="preserve"> Delay</w:t>
      </w:r>
      <w:bookmarkEnd w:id="122"/>
      <w:r>
        <w:t xml:space="preserve"> </w:t>
      </w:r>
    </w:p>
    <w:p w14:paraId="48304793" w14:textId="77777777" w:rsidR="00C27569" w:rsidRDefault="00C27569" w:rsidP="000B18E5">
      <w:pPr>
        <w:pStyle w:val="NoSpacing"/>
      </w:pPr>
    </w:p>
    <w:p w14:paraId="4AF781CC" w14:textId="33435995" w:rsidR="00D743FB" w:rsidRPr="00BB3634" w:rsidRDefault="00D743FB" w:rsidP="000B18E5">
      <w:pPr>
        <w:pStyle w:val="NoSpacing"/>
      </w:pPr>
      <w:r w:rsidRPr="00BB3634">
        <w:t xml:space="preserve">Defence delay does not count towards the presumptive ceiling. Defence delay has two components: waiver and delay caused solely by the conduct of the defence. Waiver by an accused must be clear and unequivocal, and made with full knowledge of the rights being waived and the effect of the waiver on those rights. The court cannot accept the failure to assert the right, silence, or lack of objection as constituting a valid waiver. Importantly, waiver also implies choice. As the Supreme Court noted in </w:t>
      </w:r>
      <w:r w:rsidRPr="00BB3634">
        <w:rPr>
          <w:i/>
        </w:rPr>
        <w:t>R v Askov</w:t>
      </w:r>
      <w:r w:rsidRPr="00BB3634">
        <w:t>, [1990] 2 SCR 1199, “unless some real option is available, there can be no choice exercised and as a result waiver is impossible</w:t>
      </w:r>
      <w:r w:rsidR="006E53E3" w:rsidRPr="00BB3634">
        <w:t>:</w:t>
      </w:r>
      <w:r w:rsidRPr="00BB3634">
        <w:t>”</w:t>
      </w:r>
      <w:r w:rsidR="006E53E3" w:rsidRPr="00BB3634">
        <w:t xml:space="preserve"> </w:t>
      </w:r>
      <w:r w:rsidR="006E53E3" w:rsidRPr="00BB3634">
        <w:rPr>
          <w:i/>
        </w:rPr>
        <w:t>Jordan</w:t>
      </w:r>
      <w:r w:rsidR="006E53E3" w:rsidRPr="00BB3634">
        <w:t xml:space="preserve">, at </w:t>
      </w:r>
      <w:r w:rsidRPr="00BB3634">
        <w:t>para 106</w:t>
      </w:r>
      <w:r w:rsidR="006E53E3" w:rsidRPr="00BB3634">
        <w:t>.</w:t>
      </w:r>
    </w:p>
    <w:p w14:paraId="143B46B4" w14:textId="77777777" w:rsidR="00D743FB" w:rsidRPr="00BB3634" w:rsidRDefault="00D743FB" w:rsidP="000B18E5">
      <w:pPr>
        <w:pStyle w:val="NoSpacing"/>
      </w:pPr>
    </w:p>
    <w:p w14:paraId="411427D4" w14:textId="77777777" w:rsidR="00D743FB" w:rsidRPr="00BB3634" w:rsidRDefault="00D743FB" w:rsidP="000B18E5">
      <w:pPr>
        <w:pStyle w:val="NoSpacing"/>
      </w:pPr>
      <w:r w:rsidRPr="00BB3634">
        <w:t>The second type of defence delay occurs when defence conduct directly causes delay, or when both the Crown and court are ready to proceed but the defence is not. However, “defence actions legitimately taken to respond to the charges fall outside the ambit of defence delay.” Defence applications and requests that are not frivolous will typically not contribute to defence delay: </w:t>
      </w:r>
      <w:r w:rsidRPr="00BB3634">
        <w:rPr>
          <w:i/>
        </w:rPr>
        <w:t xml:space="preserve">Jordan, </w:t>
      </w:r>
      <w:r w:rsidRPr="00BB3634">
        <w:t>paras 60-66. </w:t>
      </w:r>
    </w:p>
    <w:p w14:paraId="270ECCC4" w14:textId="77777777" w:rsidR="00681C79" w:rsidRPr="00BB3634" w:rsidRDefault="00681C79" w:rsidP="000B18E5">
      <w:pPr>
        <w:pStyle w:val="NoSpacing"/>
      </w:pPr>
    </w:p>
    <w:p w14:paraId="432DCA41" w14:textId="3568D323" w:rsidR="00593A29" w:rsidRPr="00BB3634" w:rsidRDefault="00593A29" w:rsidP="000B18E5">
      <w:pPr>
        <w:pStyle w:val="NoSpacing"/>
      </w:pPr>
      <w:r w:rsidRPr="00BB3634">
        <w:t xml:space="preserve">Delay arising from frivolous positions taken by defence counsel constitute defence delay: </w:t>
      </w:r>
      <w:r w:rsidRPr="00BB3634">
        <w:rPr>
          <w:i/>
        </w:rPr>
        <w:t xml:space="preserve">R v Mallozzi, </w:t>
      </w:r>
      <w:hyperlink r:id="rId333" w:history="1">
        <w:r w:rsidRPr="00BB3634">
          <w:rPr>
            <w:rStyle w:val="Hyperlink"/>
          </w:rPr>
          <w:t xml:space="preserve">2017 ONCA </w:t>
        </w:r>
        <w:r w:rsidR="008A7CEB" w:rsidRPr="00BB3634">
          <w:rPr>
            <w:rStyle w:val="Hyperlink"/>
          </w:rPr>
          <w:t>644</w:t>
        </w:r>
      </w:hyperlink>
      <w:r w:rsidR="008A7CEB" w:rsidRPr="00BB3634">
        <w:t>, at para 41</w:t>
      </w:r>
    </w:p>
    <w:p w14:paraId="4EB4ED03" w14:textId="77777777" w:rsidR="00593A29" w:rsidRPr="00BB3634" w:rsidRDefault="00593A29" w:rsidP="000B18E5">
      <w:pPr>
        <w:pStyle w:val="NoSpacing"/>
      </w:pPr>
    </w:p>
    <w:p w14:paraId="7DD23665" w14:textId="7BDEAE84" w:rsidR="00681C79" w:rsidRPr="00BB3634" w:rsidRDefault="00681C79" w:rsidP="000B18E5">
      <w:pPr>
        <w:pStyle w:val="NoSpacing"/>
      </w:pPr>
      <w:r w:rsidRPr="00BB3634">
        <w:t>For example, in</w:t>
      </w:r>
      <w:r w:rsidR="0031799F" w:rsidRPr="00BB3634">
        <w:t xml:space="preserve"> </w:t>
      </w:r>
      <w:r w:rsidR="0031799F" w:rsidRPr="00BB3634">
        <w:rPr>
          <w:i/>
        </w:rPr>
        <w:t xml:space="preserve">RB, </w:t>
      </w:r>
      <w:r w:rsidR="0031799F" w:rsidRPr="00BB3634">
        <w:t xml:space="preserve">the Court of Appeal held that the entire period of delay arising from the accused’s flight from Canada in breach of his bail conditions constituted defence delay. The court rejected the argument that the state’s failure to seek his surrender </w:t>
      </w:r>
      <w:r w:rsidR="002432A8" w:rsidRPr="00BB3634">
        <w:t xml:space="preserve">pursuant to an extradition treat meant that the Crown was responsible for a large period of the delay: </w:t>
      </w:r>
      <w:r w:rsidR="002432A8" w:rsidRPr="00BB3634">
        <w:rPr>
          <w:i/>
        </w:rPr>
        <w:t xml:space="preserve">R v RB, </w:t>
      </w:r>
      <w:r w:rsidR="002432A8" w:rsidRPr="00BB3634">
        <w:t>2018 ONCA 594</w:t>
      </w:r>
    </w:p>
    <w:p w14:paraId="617801C8" w14:textId="77777777" w:rsidR="002762D3" w:rsidRPr="00BB3634" w:rsidRDefault="002762D3" w:rsidP="000B18E5">
      <w:pPr>
        <w:pStyle w:val="NoSpacing"/>
      </w:pPr>
    </w:p>
    <w:p w14:paraId="64E4BBC0" w14:textId="0E3A0189" w:rsidR="002762D3" w:rsidRPr="00BB3634" w:rsidRDefault="002762D3" w:rsidP="000B18E5">
      <w:pPr>
        <w:pStyle w:val="NoSpacing"/>
      </w:pPr>
      <w:r w:rsidRPr="00BB3634">
        <w:t xml:space="preserve">Although actions that are legitimately taken to respond to the charges will fall outside of defence delay, when what prevents the matter from proceeding is simply that the defence is not available when the Crown and the court are, this constitutes defence delay and will be subtracted from the total delay: </w:t>
      </w:r>
      <w:r w:rsidRPr="00BB3634">
        <w:rPr>
          <w:i/>
        </w:rPr>
        <w:t xml:space="preserve">R v Mallozzi, </w:t>
      </w:r>
      <w:hyperlink r:id="rId334" w:history="1">
        <w:r w:rsidRPr="00BB3634">
          <w:rPr>
            <w:rStyle w:val="Hyperlink"/>
          </w:rPr>
          <w:t>2018 ONCA 312</w:t>
        </w:r>
      </w:hyperlink>
      <w:r w:rsidRPr="00BB3634">
        <w:t xml:space="preserve"> at para 6</w:t>
      </w:r>
    </w:p>
    <w:p w14:paraId="3D48D1F3" w14:textId="3D1E6D5E" w:rsidR="00D743FB" w:rsidRDefault="00D743FB" w:rsidP="000B18E5">
      <w:pPr>
        <w:pStyle w:val="NoSpacing"/>
      </w:pPr>
    </w:p>
    <w:p w14:paraId="377C3E7C" w14:textId="7BF95416" w:rsidR="00C27569" w:rsidRDefault="00C27569" w:rsidP="000B18E5">
      <w:pPr>
        <w:pStyle w:val="NoSpacing"/>
      </w:pPr>
      <w:r w:rsidRPr="00BB3634">
        <w:t xml:space="preserve">While delay in pursuit of extradition proceedings has been attributed to the Crown, delay arising from an accused’s flight from the jurisdiction is attributable to defence delay and is to be subtracted from the net Jordan delay: </w:t>
      </w:r>
      <w:r w:rsidRPr="00BB3634">
        <w:rPr>
          <w:i/>
        </w:rPr>
        <w:t xml:space="preserve">R v Burke, </w:t>
      </w:r>
      <w:hyperlink r:id="rId335" w:history="1">
        <w:r w:rsidRPr="00BB3634">
          <w:rPr>
            <w:rStyle w:val="Hyperlink"/>
          </w:rPr>
          <w:t>2018 ONCA 594</w:t>
        </w:r>
      </w:hyperlink>
      <w:r w:rsidRPr="00BB3634">
        <w:t xml:space="preserve"> </w:t>
      </w:r>
    </w:p>
    <w:p w14:paraId="271BBD8A" w14:textId="6E43202F" w:rsidR="000F5F29" w:rsidRDefault="000F5F29" w:rsidP="000B18E5">
      <w:pPr>
        <w:pStyle w:val="NoSpacing"/>
      </w:pPr>
    </w:p>
    <w:p w14:paraId="2036AF1A" w14:textId="7F89141B" w:rsidR="000F5F29" w:rsidRPr="000F5F29" w:rsidRDefault="000F5F29" w:rsidP="000B18E5">
      <w:pPr>
        <w:pStyle w:val="NoSpacing"/>
      </w:pPr>
      <w:r>
        <w:lastRenderedPageBreak/>
        <w:t xml:space="preserve">For a review of considerations in characterizing delay arising from the delay in executing a bench warrant upon failure of the accused to attend court, see: </w:t>
      </w:r>
      <w:r>
        <w:rPr>
          <w:i/>
          <w:iCs w:val="0"/>
        </w:rPr>
        <w:t xml:space="preserve">R v JM, </w:t>
      </w:r>
      <w:hyperlink r:id="rId336" w:history="1">
        <w:r w:rsidRPr="000F5F29">
          <w:rPr>
            <w:rStyle w:val="Hyperlink"/>
          </w:rPr>
          <w:t>2021 ONCA 256</w:t>
        </w:r>
      </w:hyperlink>
      <w:r>
        <w:t>, at paras 38-43</w:t>
      </w:r>
    </w:p>
    <w:p w14:paraId="53567967" w14:textId="77777777" w:rsidR="00C27569" w:rsidRPr="00BB3634" w:rsidRDefault="00C27569" w:rsidP="000B18E5">
      <w:pPr>
        <w:pStyle w:val="NoSpacing"/>
      </w:pPr>
    </w:p>
    <w:p w14:paraId="181B6504" w14:textId="1143A495" w:rsidR="00D743FB" w:rsidRPr="00BB3634" w:rsidRDefault="00D743FB" w:rsidP="00C27569">
      <w:pPr>
        <w:pStyle w:val="Heading2"/>
        <w:numPr>
          <w:ilvl w:val="0"/>
          <w:numId w:val="5"/>
        </w:numPr>
        <w:spacing w:line="276" w:lineRule="auto"/>
        <w:ind w:left="360"/>
      </w:pPr>
      <w:bookmarkStart w:id="123" w:name="_Toc94360204"/>
      <w:r w:rsidRPr="00BB3634">
        <w:rPr>
          <w:rStyle w:val="wixguard"/>
        </w:rPr>
        <w:t>​</w:t>
      </w:r>
      <w:r w:rsidR="00C27569" w:rsidRPr="00C27569">
        <w:rPr>
          <w:rFonts w:cs="Arial"/>
        </w:rPr>
        <w:t>Exceptional Circumstances</w:t>
      </w:r>
      <w:bookmarkEnd w:id="123"/>
    </w:p>
    <w:p w14:paraId="0F38BCF7" w14:textId="77777777" w:rsidR="00C27569" w:rsidRDefault="00C27569" w:rsidP="000B18E5">
      <w:pPr>
        <w:pStyle w:val="NoSpacing"/>
      </w:pPr>
    </w:p>
    <w:p w14:paraId="46436941" w14:textId="0EB6059B" w:rsidR="005908E4" w:rsidRPr="00BB3634" w:rsidRDefault="00D743FB" w:rsidP="000B18E5">
      <w:pPr>
        <w:pStyle w:val="NoSpacing"/>
      </w:pPr>
      <w:r w:rsidRPr="00BB3634">
        <w:t>An exceptional circumstance typically falls into one of two categories: discrete events and particularly complex cases. The former concerns events such as medical or family emergencies and unforeseen events at trial (e.g., a recanting witness) that cause delay. Such delay should be subtracted from the total delay used in determining whether the presumptive ceiling has been breached (</w:t>
      </w:r>
      <w:r w:rsidR="00880F05" w:rsidRPr="00BB3634">
        <w:rPr>
          <w:i/>
        </w:rPr>
        <w:t xml:space="preserve">Jordan, </w:t>
      </w:r>
      <w:r w:rsidRPr="00BB3634">
        <w:t>paras 71-75). </w:t>
      </w:r>
    </w:p>
    <w:p w14:paraId="0FB8FB00" w14:textId="090D0AFF" w:rsidR="005908E4" w:rsidRPr="00BB3634" w:rsidRDefault="005908E4" w:rsidP="00BB3634">
      <w:pPr>
        <w:spacing w:before="100" w:beforeAutospacing="1" w:after="100" w:afterAutospacing="1" w:line="276" w:lineRule="auto"/>
        <w:jc w:val="both"/>
        <w:rPr>
          <w:rFonts w:ascii="Arial" w:hAnsi="Arial" w:cs="Arial"/>
          <w:color w:val="000000"/>
        </w:rPr>
      </w:pPr>
      <w:r w:rsidRPr="00BB3634">
        <w:rPr>
          <w:rFonts w:ascii="Arial" w:hAnsi="Arial" w:cs="Arial"/>
          <w:color w:val="000000"/>
        </w:rPr>
        <w:t xml:space="preserve">The assignment of judges to education programs does not qualify as an exceptional circumstance. </w:t>
      </w:r>
    </w:p>
    <w:p w14:paraId="61EE1A14" w14:textId="63B418D8" w:rsidR="004D18B7" w:rsidRDefault="00FF53C5" w:rsidP="00C27569">
      <w:pPr>
        <w:spacing w:before="100" w:beforeAutospacing="1" w:after="100" w:afterAutospacing="1" w:line="276" w:lineRule="auto"/>
        <w:jc w:val="both"/>
        <w:rPr>
          <w:rFonts w:ascii="Arial" w:hAnsi="Arial" w:cs="Arial"/>
          <w:color w:val="000000"/>
        </w:rPr>
      </w:pPr>
      <w:r w:rsidRPr="00BB3634">
        <w:rPr>
          <w:rFonts w:ascii="Arial" w:hAnsi="Arial" w:cs="Arial"/>
          <w:color w:val="000000"/>
        </w:rPr>
        <w:t>I</w:t>
      </w:r>
      <w:r w:rsidR="005908E4" w:rsidRPr="00BB3634">
        <w:rPr>
          <w:rFonts w:ascii="Arial" w:hAnsi="Arial" w:cs="Arial"/>
          <w:color w:val="000000"/>
        </w:rPr>
        <w:t xml:space="preserve">t </w:t>
      </w:r>
      <w:r w:rsidRPr="00BB3634">
        <w:rPr>
          <w:rFonts w:ascii="Arial" w:hAnsi="Arial" w:cs="Arial"/>
          <w:color w:val="000000"/>
        </w:rPr>
        <w:t xml:space="preserve">does not </w:t>
      </w:r>
      <w:r w:rsidR="005908E4" w:rsidRPr="00BB3634">
        <w:rPr>
          <w:rFonts w:ascii="Arial" w:hAnsi="Arial" w:cs="Arial"/>
          <w:color w:val="000000"/>
        </w:rPr>
        <w:t>matter that the prosecuting Crown can do nothing about the staffing of courts. The Crown at large is responsible for preventing systemic delay</w:t>
      </w:r>
      <w:r w:rsidRPr="00BB3634">
        <w:rPr>
          <w:rFonts w:ascii="Arial" w:hAnsi="Arial" w:cs="Arial"/>
          <w:color w:val="000000"/>
        </w:rPr>
        <w:t xml:space="preserve">: </w:t>
      </w:r>
      <w:r w:rsidRPr="00BB3634">
        <w:rPr>
          <w:rFonts w:ascii="Arial" w:hAnsi="Arial" w:cs="Arial"/>
          <w:i/>
          <w:iCs/>
          <w:color w:val="000000"/>
        </w:rPr>
        <w:t xml:space="preserve">R v Perreault, </w:t>
      </w:r>
      <w:hyperlink r:id="rId337" w:history="1">
        <w:r w:rsidRPr="00BB3634">
          <w:rPr>
            <w:rStyle w:val="Hyperlink"/>
            <w:rFonts w:ascii="Arial" w:hAnsi="Arial" w:cs="Arial"/>
          </w:rPr>
          <w:t>2020 ONCA 580</w:t>
        </w:r>
      </w:hyperlink>
      <w:r w:rsidRPr="00BB3634">
        <w:rPr>
          <w:rFonts w:ascii="Arial" w:hAnsi="Arial" w:cs="Arial"/>
          <w:color w:val="000000"/>
        </w:rPr>
        <w:t>, at paras 4-5</w:t>
      </w:r>
    </w:p>
    <w:p w14:paraId="7971101B" w14:textId="3634EFFB" w:rsidR="00900BA7" w:rsidRPr="00900BA7" w:rsidRDefault="00900BA7" w:rsidP="000B18E5">
      <w:pPr>
        <w:pStyle w:val="NoSpacing"/>
      </w:pPr>
      <w:r w:rsidRPr="00900BA7">
        <w:t>Superior Court judges know how many vacancies exist in the local complement at any one time. This is a fact of which a judge can take judicial notice</w:t>
      </w:r>
      <w:r>
        <w:t xml:space="preserve">: </w:t>
      </w:r>
      <w:r>
        <w:rPr>
          <w:i/>
        </w:rPr>
        <w:t xml:space="preserve">R v Villanti, </w:t>
      </w:r>
      <w:hyperlink r:id="rId338" w:history="1">
        <w:r w:rsidRPr="00900BA7">
          <w:rPr>
            <w:rStyle w:val="Hyperlink"/>
          </w:rPr>
          <w:t>2020 ONCA 755</w:t>
        </w:r>
      </w:hyperlink>
      <w:r>
        <w:t>, at para 34</w:t>
      </w:r>
    </w:p>
    <w:p w14:paraId="5E1F019C" w14:textId="77777777" w:rsidR="00900BA7" w:rsidRPr="00900BA7" w:rsidRDefault="00900BA7" w:rsidP="000B18E5">
      <w:pPr>
        <w:pStyle w:val="NoSpacing"/>
      </w:pPr>
    </w:p>
    <w:p w14:paraId="1178C2C7" w14:textId="5A730C85" w:rsidR="008A7CEB" w:rsidRPr="00BB3634" w:rsidRDefault="008A7CEB" w:rsidP="000B18E5">
      <w:pPr>
        <w:pStyle w:val="NoSpacing"/>
      </w:pPr>
      <w:r w:rsidRPr="00BB3634">
        <w:t xml:space="preserve">Two mistrials qualify as discrete, exceptional events that were reasonably unforeseeable: </w:t>
      </w:r>
      <w:r w:rsidRPr="00BB3634">
        <w:rPr>
          <w:i/>
        </w:rPr>
        <w:t>R v Mallo</w:t>
      </w:r>
      <w:r w:rsidR="00CE7F9E" w:rsidRPr="00BB3634">
        <w:rPr>
          <w:i/>
        </w:rPr>
        <w:t>z</w:t>
      </w:r>
      <w:r w:rsidRPr="00BB3634">
        <w:rPr>
          <w:i/>
        </w:rPr>
        <w:t xml:space="preserve">zi, </w:t>
      </w:r>
      <w:hyperlink r:id="rId339" w:history="1">
        <w:r w:rsidRPr="00BB3634">
          <w:rPr>
            <w:rStyle w:val="Hyperlink"/>
          </w:rPr>
          <w:t>2017 ONCA 644</w:t>
        </w:r>
      </w:hyperlink>
      <w:r w:rsidR="00CE7F9E" w:rsidRPr="00BB3634">
        <w:t>,</w:t>
      </w:r>
      <w:r w:rsidRPr="00BB3634">
        <w:t xml:space="preserve"> at para </w:t>
      </w:r>
      <w:r w:rsidR="00CE7F9E" w:rsidRPr="00BB3634">
        <w:t>41</w:t>
      </w:r>
      <w:r w:rsidRPr="00BB3634">
        <w:t xml:space="preserve"> </w:t>
      </w:r>
    </w:p>
    <w:p w14:paraId="0AB43970" w14:textId="77777777" w:rsidR="00CE7F9E" w:rsidRPr="00BB3634" w:rsidRDefault="00CE7F9E" w:rsidP="000B18E5">
      <w:pPr>
        <w:pStyle w:val="NoSpacing"/>
      </w:pPr>
    </w:p>
    <w:p w14:paraId="066B5287" w14:textId="18059995" w:rsidR="004D18B7" w:rsidRPr="00BB3634" w:rsidRDefault="004D18B7" w:rsidP="000B18E5">
      <w:pPr>
        <w:pStyle w:val="NoSpacing"/>
      </w:pPr>
      <w:r w:rsidRPr="00BB3634">
        <w:t>In a vigorously contest</w:t>
      </w:r>
      <w:r w:rsidR="007220FC" w:rsidRPr="00BB3634">
        <w:t xml:space="preserve">ed, multi-day and witness trial, it is not in itself a discrete exceptional event that the trial judge required time to provide the parties with reasons. In other words, the time while the decision is under reserve does not constitute a discrete exceptional event: </w:t>
      </w:r>
      <w:r w:rsidR="007220FC" w:rsidRPr="00BB3634">
        <w:rPr>
          <w:i/>
        </w:rPr>
        <w:t xml:space="preserve">R v MacIsaac, </w:t>
      </w:r>
      <w:hyperlink r:id="rId340" w:history="1">
        <w:r w:rsidR="007220FC" w:rsidRPr="00BB3634">
          <w:rPr>
            <w:rStyle w:val="Hyperlink"/>
            <w:rFonts w:eastAsiaTheme="minorEastAsia"/>
          </w:rPr>
          <w:t>2018 ONCA 650</w:t>
        </w:r>
      </w:hyperlink>
      <w:r w:rsidR="007220FC" w:rsidRPr="00BB3634">
        <w:t xml:space="preserve"> at para 48</w:t>
      </w:r>
    </w:p>
    <w:p w14:paraId="7B728674" w14:textId="77777777" w:rsidR="00E15209" w:rsidRPr="00BB3634" w:rsidRDefault="00E15209" w:rsidP="000B18E5">
      <w:pPr>
        <w:pStyle w:val="NoSpacing"/>
      </w:pPr>
    </w:p>
    <w:p w14:paraId="739D14E9" w14:textId="511705DE" w:rsidR="00E15209" w:rsidRPr="00BB3634" w:rsidRDefault="00E15209" w:rsidP="000B18E5">
      <w:pPr>
        <w:pStyle w:val="NoSpacing"/>
      </w:pPr>
      <w:r w:rsidRPr="00BB3634">
        <w:t>Similarly, the decision whether to seek leave to appeal is not an unforeseeable or unavoidable event of the sort contemplated by </w:t>
      </w:r>
      <w:r w:rsidRPr="00BB3634">
        <w:rPr>
          <w:i/>
        </w:rPr>
        <w:t>Jordan</w:t>
      </w:r>
      <w:r w:rsidRPr="00BB3634">
        <w:t xml:space="preserve">. On the contrary, it is a routine matter that arises in every case in which an appeal from conviction succeeds: </w:t>
      </w:r>
      <w:r w:rsidRPr="00BB3634">
        <w:rPr>
          <w:i/>
        </w:rPr>
        <w:t xml:space="preserve">MacIsaac </w:t>
      </w:r>
      <w:r w:rsidRPr="00BB3634">
        <w:t>at para 51</w:t>
      </w:r>
    </w:p>
    <w:p w14:paraId="7B48F661" w14:textId="3920D42F" w:rsidR="004C4117" w:rsidRPr="00BB3634" w:rsidRDefault="004C4117" w:rsidP="000B18E5">
      <w:pPr>
        <w:pStyle w:val="NoSpacing"/>
      </w:pPr>
    </w:p>
    <w:p w14:paraId="3B78ED1C" w14:textId="1653F5CE" w:rsidR="004C4117" w:rsidRPr="00BB3634" w:rsidRDefault="004C4117" w:rsidP="000B18E5">
      <w:pPr>
        <w:pStyle w:val="NoSpacing"/>
      </w:pPr>
      <w:r w:rsidRPr="00BB3634">
        <w:lastRenderedPageBreak/>
        <w:t xml:space="preserve">Where a trial goes longer than “reasonably expected”, even where the parties have in good faith attempted to establish realistic timelines” it is “likely that the delay was unavoidable and is therefore to be treated as an exceptional circumstance: </w:t>
      </w:r>
      <w:r w:rsidRPr="00BB3634">
        <w:rPr>
          <w:i/>
        </w:rPr>
        <w:t xml:space="preserve">R v Jurkus, </w:t>
      </w:r>
      <w:r w:rsidRPr="00BB3634">
        <w:t xml:space="preserve">2018 ONCA 489, at para 55; </w:t>
      </w:r>
      <w:r w:rsidRPr="00BB3634">
        <w:rPr>
          <w:i/>
        </w:rPr>
        <w:t xml:space="preserve">R v Antic, </w:t>
      </w:r>
      <w:hyperlink r:id="rId341" w:history="1">
        <w:r w:rsidRPr="00BB3634">
          <w:rPr>
            <w:rStyle w:val="Hyperlink"/>
          </w:rPr>
          <w:t>2019 ONCA 160</w:t>
        </w:r>
      </w:hyperlink>
      <w:r w:rsidRPr="00BB3634">
        <w:t xml:space="preserve">, at para 8. </w:t>
      </w:r>
    </w:p>
    <w:p w14:paraId="6EB31357" w14:textId="38E82775" w:rsidR="00D743FB" w:rsidRDefault="00D743FB" w:rsidP="000B18E5">
      <w:pPr>
        <w:pStyle w:val="NoSpacing"/>
      </w:pPr>
    </w:p>
    <w:p w14:paraId="3D3E90DD" w14:textId="22FB2468" w:rsidR="00C27569" w:rsidRDefault="00C27569" w:rsidP="00C27569">
      <w:pPr>
        <w:pStyle w:val="Heading2"/>
        <w:numPr>
          <w:ilvl w:val="0"/>
          <w:numId w:val="5"/>
        </w:numPr>
        <w:spacing w:line="276" w:lineRule="auto"/>
        <w:ind w:left="360"/>
      </w:pPr>
      <w:bookmarkStart w:id="124" w:name="_Toc94360205"/>
      <w:r w:rsidRPr="00C27569">
        <w:rPr>
          <w:rFonts w:cs="Arial"/>
        </w:rPr>
        <w:t>Complexity</w:t>
      </w:r>
      <w:bookmarkEnd w:id="124"/>
      <w:r>
        <w:t xml:space="preserve"> </w:t>
      </w:r>
    </w:p>
    <w:p w14:paraId="17B06940" w14:textId="77777777" w:rsidR="00C27569" w:rsidRPr="00C27569" w:rsidRDefault="00C27569" w:rsidP="00C27569">
      <w:pPr>
        <w:rPr>
          <w:lang w:val="en-US"/>
        </w:rPr>
      </w:pPr>
    </w:p>
    <w:p w14:paraId="66F9E2B8" w14:textId="0F5B416E" w:rsidR="00D743FB" w:rsidRDefault="00D743FB" w:rsidP="000B18E5">
      <w:pPr>
        <w:pStyle w:val="NoSpacing"/>
      </w:pPr>
      <w:r w:rsidRPr="00BB3634">
        <w:t xml:space="preserve">Particularly complex cases are those that require an “inordinate amount of trial or preparation time such that delay is justified.” This may be because of the nature of the evidence (e.g., voluminous disclosure, a large number of witnesses, complex and lengthy expert evidence, charges covering a long period of time etc.) or the nature of the issues (e.g., a large number of charges and pre-trial applications, </w:t>
      </w:r>
      <w:r w:rsidR="00880F05" w:rsidRPr="00BB3634">
        <w:t xml:space="preserve">and </w:t>
      </w:r>
      <w:r w:rsidRPr="00BB3634">
        <w:t>no</w:t>
      </w:r>
      <w:r w:rsidR="00880F05" w:rsidRPr="00BB3634">
        <w:t>vel or complicated legal issues</w:t>
      </w:r>
      <w:r w:rsidRPr="00BB3634">
        <w:t>. The 11(b) application will fail if the court finds that the case was particularly complex such that the delay is justified (</w:t>
      </w:r>
      <w:r w:rsidR="00880F05" w:rsidRPr="00BB3634">
        <w:rPr>
          <w:i/>
        </w:rPr>
        <w:t>Jordan</w:t>
      </w:r>
      <w:r w:rsidR="00880F05" w:rsidRPr="00BB3634">
        <w:t xml:space="preserve">, paras </w:t>
      </w:r>
      <w:r w:rsidRPr="00BB3634">
        <w:t>77-80)</w:t>
      </w:r>
    </w:p>
    <w:p w14:paraId="3AE9E46A" w14:textId="39EC8CFA" w:rsidR="00C27569" w:rsidRDefault="00C27569" w:rsidP="000B18E5">
      <w:pPr>
        <w:pStyle w:val="NoSpacing"/>
      </w:pPr>
    </w:p>
    <w:p w14:paraId="67D5FD5C" w14:textId="605E55EE" w:rsidR="00C27569" w:rsidRPr="00C27569" w:rsidRDefault="00C27569" w:rsidP="000B18E5">
      <w:pPr>
        <w:pStyle w:val="NoSpacing"/>
      </w:pPr>
      <w:r w:rsidRPr="00C27569">
        <w:t>In determining whether a case is particularly complex, the following factors are of importance</w:t>
      </w:r>
      <w:r w:rsidRPr="00C27569">
        <w:rPr>
          <w:rStyle w:val="PageNumber"/>
        </w:rPr>
        <w:t>:</w:t>
      </w:r>
    </w:p>
    <w:p w14:paraId="1765A118" w14:textId="4D5B9649" w:rsidR="00C27569" w:rsidRPr="00C27569" w:rsidRDefault="00C27569" w:rsidP="000B18E5">
      <w:pPr>
        <w:pStyle w:val="NoSpacing"/>
        <w:numPr>
          <w:ilvl w:val="1"/>
          <w:numId w:val="41"/>
        </w:numPr>
      </w:pPr>
      <w:r w:rsidRPr="00C27569">
        <w:rPr>
          <w:rStyle w:val="PageNumber"/>
        </w:rPr>
        <w:t>case complexity requires a qualitative, not quantitative, assessment: </w:t>
      </w:r>
    </w:p>
    <w:p w14:paraId="30E1D40F" w14:textId="40FFB079" w:rsidR="00C27569" w:rsidRPr="00C27569" w:rsidRDefault="00C27569" w:rsidP="000B18E5">
      <w:pPr>
        <w:pStyle w:val="NoSpacing"/>
        <w:numPr>
          <w:ilvl w:val="1"/>
          <w:numId w:val="41"/>
        </w:numPr>
      </w:pPr>
      <w:r w:rsidRPr="00C27569">
        <w:rPr>
          <w:rStyle w:val="PageNumber"/>
        </w:rPr>
        <w:t>complexity is an exceptional circumstance only where the case </w:t>
      </w:r>
      <w:r w:rsidRPr="00C27569">
        <w:rPr>
          <w:rStyle w:val="underline"/>
        </w:rPr>
        <w:t>as a whole</w:t>
      </w:r>
      <w:r w:rsidRPr="00C27569">
        <w:rPr>
          <w:rStyle w:val="PageNumber"/>
        </w:rPr>
        <w:t> is particularly complex: </w:t>
      </w:r>
    </w:p>
    <w:p w14:paraId="62912215" w14:textId="4DA15326" w:rsidR="00C27569" w:rsidRPr="00C27569" w:rsidRDefault="00C27569" w:rsidP="000B18E5">
      <w:pPr>
        <w:pStyle w:val="NoSpacing"/>
        <w:numPr>
          <w:ilvl w:val="1"/>
          <w:numId w:val="41"/>
        </w:numPr>
      </w:pPr>
      <w:r w:rsidRPr="00C27569">
        <w:rPr>
          <w:rStyle w:val="PageNumber"/>
        </w:rPr>
        <w:t>complex cases are cases that, because of the nature of the evidence or the nature of the issues, require an </w:t>
      </w:r>
      <w:r w:rsidRPr="00C27569">
        <w:rPr>
          <w:rStyle w:val="underline"/>
        </w:rPr>
        <w:t>inordinate</w:t>
      </w:r>
      <w:r w:rsidRPr="00C27569">
        <w:rPr>
          <w:rStyle w:val="PageNumber"/>
        </w:rPr>
        <w:t> amount of trial or preparation time such that the delay is justified: .</w:t>
      </w:r>
    </w:p>
    <w:p w14:paraId="74D56946" w14:textId="7830FC7C" w:rsidR="00C27569" w:rsidRPr="00C27569" w:rsidRDefault="00C27569" w:rsidP="000B18E5">
      <w:pPr>
        <w:pStyle w:val="NoSpacing"/>
        <w:numPr>
          <w:ilvl w:val="1"/>
          <w:numId w:val="41"/>
        </w:numPr>
      </w:pPr>
      <w:r w:rsidRPr="00C27569">
        <w:t>if the case is complex, then the court must look at whether the Crown developed and followed a concrete plan to minimize the delay occasioned by the complexity: </w:t>
      </w:r>
      <w:r>
        <w:rPr>
          <w:rStyle w:val="Emphasis"/>
          <w:rFonts w:eastAsiaTheme="minorEastAsia"/>
          <w:i/>
          <w:iCs w:val="0"/>
          <w:caps w:val="0"/>
          <w:sz w:val="24"/>
          <w:szCs w:val="24"/>
        </w:rPr>
        <w:t xml:space="preserve">R V Powell, </w:t>
      </w:r>
      <w:hyperlink r:id="rId342" w:history="1">
        <w:r w:rsidRPr="00C27569">
          <w:rPr>
            <w:rStyle w:val="Hyperlink"/>
            <w:rFonts w:eastAsiaTheme="minorEastAsia"/>
            <w:spacing w:val="5"/>
          </w:rPr>
          <w:t>2020 O</w:t>
        </w:r>
        <w:r>
          <w:rPr>
            <w:rStyle w:val="Hyperlink"/>
            <w:rFonts w:eastAsiaTheme="minorEastAsia"/>
            <w:spacing w:val="5"/>
          </w:rPr>
          <w:t>NCA</w:t>
        </w:r>
        <w:r w:rsidRPr="00C27569">
          <w:rPr>
            <w:rStyle w:val="Hyperlink"/>
            <w:rFonts w:eastAsiaTheme="minorEastAsia"/>
            <w:spacing w:val="5"/>
          </w:rPr>
          <w:t xml:space="preserve"> 743</w:t>
        </w:r>
      </w:hyperlink>
      <w:r>
        <w:rPr>
          <w:rStyle w:val="Emphasis"/>
          <w:rFonts w:eastAsiaTheme="minorEastAsia"/>
          <w:caps w:val="0"/>
          <w:sz w:val="24"/>
          <w:szCs w:val="24"/>
        </w:rPr>
        <w:t>, at para 7</w:t>
      </w:r>
    </w:p>
    <w:p w14:paraId="42E91DD3" w14:textId="77777777" w:rsidR="00C27569" w:rsidRPr="00BB3634" w:rsidRDefault="00C27569" w:rsidP="000B18E5">
      <w:pPr>
        <w:pStyle w:val="NoSpacing"/>
      </w:pPr>
    </w:p>
    <w:p w14:paraId="5989A78F" w14:textId="77777777" w:rsidR="00880F05" w:rsidRPr="00BB3634" w:rsidRDefault="00880F05" w:rsidP="000B18E5">
      <w:pPr>
        <w:pStyle w:val="NoSpacing"/>
      </w:pPr>
    </w:p>
    <w:p w14:paraId="1F6671F3" w14:textId="1A92BE56" w:rsidR="00880F05" w:rsidRDefault="00880F05" w:rsidP="000B18E5">
      <w:pPr>
        <w:pStyle w:val="NoSpacing"/>
        <w:rPr>
          <w:lang w:val="fr-CA"/>
        </w:rPr>
      </w:pPr>
      <w:r w:rsidRPr="00BB3634">
        <w:t xml:space="preserve">Complexity can also arise from cases involving more than one accused. Proceeding jointly against multiple co-accused, so long as it is in the interest of justice to do so, may also impact the complexity of the case: </w:t>
      </w:r>
      <w:r w:rsidRPr="00BB3634">
        <w:rPr>
          <w:i/>
        </w:rPr>
        <w:t>Jordan, </w:t>
      </w:r>
      <w:r w:rsidRPr="00BB3634">
        <w:t>at para. 77; </w:t>
      </w:r>
      <w:r w:rsidRPr="00BB3634">
        <w:rPr>
          <w:i/>
        </w:rPr>
        <w:t>R v Gopie, </w:t>
      </w:r>
      <w:r w:rsidRPr="00BB3634">
        <w:rPr>
          <w:u w:val="single"/>
        </w:rPr>
        <w:t>2017 ONCA 728</w:t>
      </w:r>
      <w:r w:rsidRPr="00BB3634">
        <w:t xml:space="preserve"> 169; </w:t>
      </w:r>
      <w:r w:rsidRPr="00BB3634">
        <w:rPr>
          <w:i/>
        </w:rPr>
        <w:t>R. v. Manasseri, </w:t>
      </w:r>
      <w:r w:rsidRPr="00BB3634">
        <w:t xml:space="preserve">2016 ONCA 703 at para. 311; </w:t>
      </w:r>
      <w:r w:rsidRPr="00BB3634">
        <w:rPr>
          <w:i/>
        </w:rPr>
        <w:t xml:space="preserve">R v Jurkus, </w:t>
      </w:r>
      <w:hyperlink r:id="rId343" w:history="1">
        <w:r w:rsidRPr="00BB3634">
          <w:rPr>
            <w:rStyle w:val="Hyperlink"/>
          </w:rPr>
          <w:t>2018 ONCA 489</w:t>
        </w:r>
      </w:hyperlink>
      <w:r w:rsidRPr="00BB3634">
        <w:t xml:space="preserve"> at para 66. There are a host of reasons why </w:t>
      </w:r>
      <w:r w:rsidRPr="00BB3634">
        <w:lastRenderedPageBreak/>
        <w:t>accused charged in relation to the same incident should be tried together, such as: conserving judicial and trial resources; avoiding inconsistent verdicts; and avoiding witnesses having to testify more than once: </w:t>
      </w:r>
      <w:r w:rsidRPr="00BB3634">
        <w:rPr>
          <w:i/>
        </w:rPr>
        <w:t>Gopie, </w:t>
      </w:r>
      <w:r w:rsidRPr="00BB3634">
        <w:t>at para. </w:t>
      </w:r>
      <w:r w:rsidRPr="00BB3634">
        <w:rPr>
          <w:lang w:val="fr-CA"/>
        </w:rPr>
        <w:t xml:space="preserve">138; </w:t>
      </w:r>
      <w:r w:rsidRPr="00BB3634">
        <w:rPr>
          <w:i/>
          <w:lang w:val="fr-CA"/>
        </w:rPr>
        <w:t xml:space="preserve">Jurkus </w:t>
      </w:r>
      <w:r w:rsidRPr="00BB3634">
        <w:rPr>
          <w:lang w:val="fr-CA"/>
        </w:rPr>
        <w:t>at para 68</w:t>
      </w:r>
    </w:p>
    <w:p w14:paraId="0A9C9AA0" w14:textId="61066CCB" w:rsidR="00C27569" w:rsidRDefault="00C27569" w:rsidP="000B18E5">
      <w:pPr>
        <w:pStyle w:val="NoSpacing"/>
      </w:pPr>
    </w:p>
    <w:p w14:paraId="7927D901" w14:textId="768FD40B" w:rsidR="00693639" w:rsidRDefault="00693639" w:rsidP="000B18E5">
      <w:pPr>
        <w:pStyle w:val="NoSpacing"/>
      </w:pPr>
      <w:r w:rsidRPr="00693639">
        <w:t>It is not sufficient for the Crown to simply assert that the case was complex; it must link complexity to the delay that ensued and also demonstrate that, despite developing a plan to address the complexity and minimize the delay, it was unable to do so</w:t>
      </w:r>
      <w:r>
        <w:t xml:space="preserve">: </w:t>
      </w:r>
      <w:r>
        <w:rPr>
          <w:i/>
        </w:rPr>
        <w:t xml:space="preserve">R v Wookey, </w:t>
      </w:r>
      <w:hyperlink r:id="rId344" w:history="1">
        <w:r w:rsidRPr="00693639">
          <w:rPr>
            <w:rStyle w:val="Hyperlink"/>
          </w:rPr>
          <w:t>2021 ONCA 68</w:t>
        </w:r>
      </w:hyperlink>
      <w:r>
        <w:t>, at paras 83-86</w:t>
      </w:r>
    </w:p>
    <w:p w14:paraId="06C6923A" w14:textId="0AE461A9" w:rsidR="00693639" w:rsidRDefault="00693639" w:rsidP="000B18E5">
      <w:pPr>
        <w:pStyle w:val="NoSpacing"/>
      </w:pPr>
    </w:p>
    <w:p w14:paraId="06E31B7D" w14:textId="5CE7BA70" w:rsidR="00693639" w:rsidRDefault="00693639" w:rsidP="000B18E5">
      <w:pPr>
        <w:pStyle w:val="NoSpacing"/>
      </w:pPr>
      <w:r>
        <w:t>W</w:t>
      </w:r>
      <w:r w:rsidRPr="00693639">
        <w:t>hether a particular case is complex will often be in the eye of the beholder. These determinations fall well within the trial judge’s expertise</w:t>
      </w:r>
      <w:r>
        <w:t xml:space="preserve">: </w:t>
      </w:r>
      <w:r>
        <w:rPr>
          <w:i/>
        </w:rPr>
        <w:t xml:space="preserve">R v Wookey, </w:t>
      </w:r>
      <w:hyperlink r:id="rId345" w:history="1">
        <w:r w:rsidRPr="00693639">
          <w:rPr>
            <w:rStyle w:val="Hyperlink"/>
          </w:rPr>
          <w:t>2021 ONCA 68</w:t>
        </w:r>
      </w:hyperlink>
      <w:r>
        <w:t>, at para 88</w:t>
      </w:r>
    </w:p>
    <w:p w14:paraId="2D06ECA5" w14:textId="77777777" w:rsidR="00693639" w:rsidRDefault="00693639" w:rsidP="000B18E5">
      <w:pPr>
        <w:pStyle w:val="NoSpacing"/>
      </w:pPr>
    </w:p>
    <w:p w14:paraId="6C2738E7" w14:textId="6E2573A5" w:rsidR="00693639" w:rsidRPr="00693639" w:rsidRDefault="00693639" w:rsidP="000B18E5">
      <w:pPr>
        <w:pStyle w:val="NoSpacing"/>
      </w:pPr>
      <w:r w:rsidRPr="00693639">
        <w:t>While voluminous disclosure is a hallmark of particularly complex cases, its presence is not automatically demonstrative of complexity. The question is whether </w:t>
      </w:r>
      <w:r w:rsidRPr="00693639">
        <w:rPr>
          <w:i/>
        </w:rPr>
        <w:t>the</w:t>
      </w:r>
      <w:r w:rsidRPr="00693639">
        <w:t> </w:t>
      </w:r>
      <w:r w:rsidRPr="00693639">
        <w:rPr>
          <w:i/>
        </w:rPr>
        <w:t>case</w:t>
      </w:r>
      <w:r w:rsidRPr="00693639">
        <w:t> is sufficiently complex such that the delay is justified</w:t>
      </w:r>
      <w:r>
        <w:t xml:space="preserve">. </w:t>
      </w:r>
      <w:r w:rsidRPr="00693639">
        <w:t>It is the manner in which the Crown discharges its disclosure obligations that is key</w:t>
      </w:r>
      <w:r>
        <w:t xml:space="preserve">: </w:t>
      </w:r>
      <w:r>
        <w:rPr>
          <w:i/>
        </w:rPr>
        <w:t xml:space="preserve">R v Wookey, </w:t>
      </w:r>
      <w:hyperlink r:id="rId346" w:history="1">
        <w:r w:rsidRPr="00693639">
          <w:rPr>
            <w:rStyle w:val="Hyperlink"/>
          </w:rPr>
          <w:t>2021 ONCA 68</w:t>
        </w:r>
      </w:hyperlink>
      <w:r>
        <w:t>, at para 92</w:t>
      </w:r>
    </w:p>
    <w:p w14:paraId="65214623" w14:textId="77777777" w:rsidR="00693639" w:rsidRPr="00693639" w:rsidRDefault="00693639" w:rsidP="000B18E5">
      <w:pPr>
        <w:pStyle w:val="NoSpacing"/>
      </w:pPr>
    </w:p>
    <w:p w14:paraId="768358C6" w14:textId="77777777" w:rsidR="00693639" w:rsidRPr="00693639" w:rsidRDefault="00693639" w:rsidP="000B18E5">
      <w:pPr>
        <w:pStyle w:val="NoSpacing"/>
      </w:pPr>
    </w:p>
    <w:p w14:paraId="4E888601" w14:textId="77777777" w:rsidR="00693639" w:rsidRPr="00BB3634" w:rsidRDefault="00693639" w:rsidP="000B18E5">
      <w:pPr>
        <w:pStyle w:val="NoSpacing"/>
      </w:pPr>
    </w:p>
    <w:p w14:paraId="4E092B6A" w14:textId="5BF6C690" w:rsidR="00D743FB" w:rsidRDefault="00C27569" w:rsidP="00C27569">
      <w:pPr>
        <w:pStyle w:val="Heading2"/>
        <w:numPr>
          <w:ilvl w:val="0"/>
          <w:numId w:val="5"/>
        </w:numPr>
        <w:spacing w:line="276" w:lineRule="auto"/>
        <w:ind w:left="360"/>
      </w:pPr>
      <w:bookmarkStart w:id="125" w:name="_Toc94360206"/>
      <w:r w:rsidRPr="00C27569">
        <w:rPr>
          <w:rFonts w:cs="Arial"/>
        </w:rPr>
        <w:t>Transitional</w:t>
      </w:r>
      <w:r>
        <w:t xml:space="preserve"> Cases</w:t>
      </w:r>
      <w:bookmarkEnd w:id="125"/>
    </w:p>
    <w:p w14:paraId="252C7807" w14:textId="77777777" w:rsidR="00C27569" w:rsidRPr="00C27569" w:rsidRDefault="00C27569" w:rsidP="00C27569">
      <w:pPr>
        <w:rPr>
          <w:lang w:val="en-US"/>
        </w:rPr>
      </w:pPr>
    </w:p>
    <w:p w14:paraId="56D47D78" w14:textId="2CB62ED4" w:rsidR="00D743FB" w:rsidRPr="00BB3634" w:rsidRDefault="00D743FB" w:rsidP="000B18E5">
      <w:pPr>
        <w:pStyle w:val="NoSpacing"/>
        <w:rPr>
          <w:u w:val="single"/>
        </w:rPr>
      </w:pPr>
      <w:r w:rsidRPr="00BB3634">
        <w:t xml:space="preserve">The Jordan framework applies to all cases currently in the system. However, for cases that exceed the presumptive ceiling, a “transitional exceptional circumstance” applies if “the Crown satisfies the court that the time the case has taken is justified based on the parties reasonable reliance on the law as it previously existed.” This necessitates a contextual assessment of the delay under the previous framework, including the allocation of delay under the Morin categories, the prejudice to the accused, the seriousness of the offence, and the institutional delay previously acceptable in the region in issue – as these considerations would have informed the parties’ behaviour prior to Jordan: </w:t>
      </w:r>
      <w:r w:rsidRPr="00BB3634">
        <w:rPr>
          <w:i/>
        </w:rPr>
        <w:t>Jordan </w:t>
      </w:r>
      <w:r w:rsidRPr="00BB3634">
        <w:t>at paras 95-97;  </w:t>
      </w:r>
      <w:r w:rsidRPr="00BB3634">
        <w:rPr>
          <w:i/>
        </w:rPr>
        <w:t>R v Manasseri,</w:t>
      </w:r>
      <w:r w:rsidRPr="00BB3634">
        <w:t xml:space="preserve"> </w:t>
      </w:r>
      <w:r w:rsidRPr="00BB3634">
        <w:rPr>
          <w:u w:val="single"/>
        </w:rPr>
        <w:t>2016 ONCA 703</w:t>
      </w:r>
      <w:r w:rsidRPr="00BB3634">
        <w:t xml:space="preserve"> at para 321; </w:t>
      </w:r>
      <w:r w:rsidRPr="00BB3634">
        <w:rPr>
          <w:i/>
        </w:rPr>
        <w:t>R v McManus, </w:t>
      </w:r>
      <w:r w:rsidRPr="00BB3634">
        <w:rPr>
          <w:u w:val="single"/>
        </w:rPr>
        <w:t>2017 ONCA 188</w:t>
      </w:r>
    </w:p>
    <w:p w14:paraId="2E3DB2B9" w14:textId="77777777" w:rsidR="00880F05" w:rsidRPr="00BB3634" w:rsidRDefault="00880F05" w:rsidP="000B18E5">
      <w:pPr>
        <w:pStyle w:val="NoSpacing"/>
      </w:pPr>
    </w:p>
    <w:p w14:paraId="78DCB233" w14:textId="642FFC19" w:rsidR="001F74BF" w:rsidRDefault="001F74BF" w:rsidP="000B18E5">
      <w:pPr>
        <w:pStyle w:val="NoSpacing"/>
      </w:pPr>
      <w:r w:rsidRPr="00BB3634">
        <w:t>In </w:t>
      </w:r>
      <w:r w:rsidRPr="00BB3634">
        <w:rPr>
          <w:i/>
        </w:rPr>
        <w:t>Gopie</w:t>
      </w:r>
      <w:r w:rsidRPr="00BB3634">
        <w:t xml:space="preserve">, at para. 178, the Court of Appeal emphasized the following relevant factors informing a transitional exceptional circumstances analysis: (i) the </w:t>
      </w:r>
      <w:r w:rsidRPr="00BB3634">
        <w:lastRenderedPageBreak/>
        <w:t>complexity of the case; (ii) the period of delay in excess of the </w:t>
      </w:r>
      <w:r w:rsidRPr="00BB3634">
        <w:rPr>
          <w:i/>
        </w:rPr>
        <w:t>Morin</w:t>
      </w:r>
      <w:r w:rsidRPr="00BB3634">
        <w:t xml:space="preserve"> guidelines (a total period of between 14 to 18 months for institutional delay for matters proceeding in superior courts); (iii) the Crown's response, if any, to any institutional delay; (iv) the defence efforts, if any, to move the case along; and (v) prejudice to the accused: see also </w:t>
      </w:r>
      <w:r w:rsidRPr="00BB3634">
        <w:rPr>
          <w:i/>
        </w:rPr>
        <w:t xml:space="preserve">R v Jurkus, </w:t>
      </w:r>
      <w:hyperlink r:id="rId347" w:history="1">
        <w:r w:rsidRPr="00BB3634">
          <w:rPr>
            <w:rStyle w:val="Hyperlink"/>
          </w:rPr>
          <w:t>2018 ONCA 489</w:t>
        </w:r>
      </w:hyperlink>
      <w:r w:rsidRPr="00BB3634">
        <w:t xml:space="preserve"> at para 75</w:t>
      </w:r>
    </w:p>
    <w:p w14:paraId="1FE72ED0" w14:textId="02FBB257" w:rsidR="00793EC8" w:rsidRDefault="00793EC8" w:rsidP="000B18E5">
      <w:pPr>
        <w:pStyle w:val="NoSpacing"/>
      </w:pPr>
    </w:p>
    <w:p w14:paraId="20543E73" w14:textId="52ACF149" w:rsidR="00793EC8" w:rsidRPr="00793EC8" w:rsidRDefault="00793EC8" w:rsidP="000B18E5">
      <w:pPr>
        <w:pStyle w:val="NoSpacing"/>
      </w:pPr>
      <w:r>
        <w:t>T</w:t>
      </w:r>
      <w:r w:rsidRPr="00793EC8">
        <w:t>he Crown will rarely, if ever, be successful in justifying the delay as a transitional exceptional circumstance under the Jordan framework if the case would have warranted a stay under R. v. Morin</w:t>
      </w:r>
      <w:r>
        <w:t xml:space="preserve">: </w:t>
      </w:r>
      <w:r>
        <w:rPr>
          <w:i/>
        </w:rPr>
        <w:t xml:space="preserve">R v Thanabalasingham, </w:t>
      </w:r>
      <w:hyperlink r:id="rId348" w:history="1">
        <w:r w:rsidRPr="00793EC8">
          <w:rPr>
            <w:rStyle w:val="Hyperlink"/>
          </w:rPr>
          <w:t>2020 SCC 18</w:t>
        </w:r>
      </w:hyperlink>
    </w:p>
    <w:p w14:paraId="0CF55FBE" w14:textId="77777777" w:rsidR="00793EC8" w:rsidRPr="00BB3634" w:rsidRDefault="00793EC8" w:rsidP="000B18E5">
      <w:pPr>
        <w:pStyle w:val="NoSpacing"/>
      </w:pPr>
    </w:p>
    <w:p w14:paraId="5DB29233" w14:textId="269F9568" w:rsidR="00C27569" w:rsidRDefault="00C27569" w:rsidP="000B18E5">
      <w:pPr>
        <w:pStyle w:val="NoSpacing"/>
      </w:pPr>
    </w:p>
    <w:p w14:paraId="53337951" w14:textId="6C4F72C4" w:rsidR="00C27569" w:rsidRPr="00BB3634" w:rsidRDefault="00C27569" w:rsidP="00C27569">
      <w:pPr>
        <w:pStyle w:val="Heading2"/>
        <w:numPr>
          <w:ilvl w:val="0"/>
          <w:numId w:val="5"/>
        </w:numPr>
        <w:spacing w:line="276" w:lineRule="auto"/>
        <w:ind w:left="360"/>
      </w:pPr>
      <w:bookmarkStart w:id="126" w:name="_Toc94360207"/>
      <w:r w:rsidRPr="00C27569">
        <w:rPr>
          <w:rFonts w:cs="Arial"/>
        </w:rPr>
        <w:t>Reasonable</w:t>
      </w:r>
      <w:r>
        <w:t xml:space="preserve"> Steps to Minimize Delay</w:t>
      </w:r>
      <w:bookmarkEnd w:id="126"/>
    </w:p>
    <w:p w14:paraId="7210C6BB" w14:textId="1D1A986B" w:rsidR="00880F05" w:rsidRPr="00BB3634" w:rsidRDefault="00880F05" w:rsidP="000B18E5">
      <w:pPr>
        <w:pStyle w:val="NoSpacing"/>
        <w:rPr>
          <w:i/>
        </w:rPr>
      </w:pPr>
      <w:r w:rsidRPr="00BB3634">
        <w:t>The inquiry into whether the Crown took reasonable steps to minimize delay remains a contextual one. In light of </w:t>
      </w:r>
      <w:r w:rsidRPr="00BB3634">
        <w:rPr>
          <w:i/>
        </w:rPr>
        <w:t>Jordan</w:t>
      </w:r>
      <w:r w:rsidRPr="00BB3634">
        <w:t xml:space="preserve">, reasonable efforts must be made to obtain continuation dates as quickly as possible. However, the reality of extremely busy provincial courts, handling the vast majority of criminal matters, must also be kept in mind: </w:t>
      </w:r>
      <w:r w:rsidRPr="00BB3634">
        <w:rPr>
          <w:i/>
        </w:rPr>
        <w:t xml:space="preserve">R v Jurkus, </w:t>
      </w:r>
      <w:hyperlink r:id="rId349" w:history="1">
        <w:r w:rsidRPr="00BB3634">
          <w:rPr>
            <w:rStyle w:val="Hyperlink"/>
          </w:rPr>
          <w:t>2018 ONCA 489</w:t>
        </w:r>
      </w:hyperlink>
      <w:r w:rsidRPr="00BB3634">
        <w:t xml:space="preserve"> at para 59</w:t>
      </w:r>
    </w:p>
    <w:p w14:paraId="5326CFCA" w14:textId="77777777" w:rsidR="00880F05" w:rsidRPr="00BB3634" w:rsidRDefault="00880F05" w:rsidP="000B18E5">
      <w:pPr>
        <w:pStyle w:val="NoSpacing"/>
      </w:pPr>
    </w:p>
    <w:p w14:paraId="5931442E" w14:textId="424B22F8" w:rsidR="00880F05" w:rsidRPr="00BB3634" w:rsidRDefault="00880F05" w:rsidP="000B18E5">
      <w:pPr>
        <w:pStyle w:val="NoSpacing"/>
      </w:pPr>
      <w:r w:rsidRPr="00BB3634">
        <w:t xml:space="preserve">JPT teleconferences may be appropriate in some situations, particularly where a long delay may be generated to accommodate personal attendance. When this arises, counsel must inform the court of their availability to proceed this way. </w:t>
      </w:r>
    </w:p>
    <w:p w14:paraId="22340807" w14:textId="77777777" w:rsidR="00880F05" w:rsidRPr="00BB3634" w:rsidRDefault="00880F05" w:rsidP="000B18E5">
      <w:pPr>
        <w:pStyle w:val="NoSpacing"/>
      </w:pPr>
    </w:p>
    <w:p w14:paraId="0A589AC7" w14:textId="27E73618" w:rsidR="00880F05" w:rsidRDefault="00880F05" w:rsidP="000B18E5">
      <w:pPr>
        <w:pStyle w:val="NoSpacing"/>
      </w:pPr>
      <w:r w:rsidRPr="00BB3634">
        <w:t xml:space="preserve">Generally speaking, however, personal appearances for JPTs are preferable. Personal appearance accords with the purpose pre-trials are designed to achieve. They are designed to promote general efficiency in the criminal justice system by, among other things, facilitating resolutions, resolving issues, simplifying motions, arriving upon agreed facts, identifying triable issues and setting meaningful schedules. In this age of concern about delay in our criminal justice system, there is an added premium on ensuring the success of judicial pre-trials. Undoubtedly, personal attendance enhances the opportunity for meaningful discussions and successful outcomes: </w:t>
      </w:r>
      <w:r w:rsidRPr="00BB3634">
        <w:rPr>
          <w:i/>
        </w:rPr>
        <w:t xml:space="preserve">R v Jurkus, </w:t>
      </w:r>
      <w:hyperlink r:id="rId350" w:history="1">
        <w:r w:rsidRPr="00BB3634">
          <w:rPr>
            <w:rStyle w:val="Hyperlink"/>
          </w:rPr>
          <w:t>2018 ONCA 489</w:t>
        </w:r>
      </w:hyperlink>
      <w:r w:rsidRPr="00BB3634">
        <w:t xml:space="preserve"> at paras 32-33</w:t>
      </w:r>
    </w:p>
    <w:p w14:paraId="6C12FC40" w14:textId="2F6412AB" w:rsidR="00900BA7" w:rsidRDefault="00900BA7" w:rsidP="000B18E5">
      <w:pPr>
        <w:pStyle w:val="NoSpacing"/>
      </w:pPr>
    </w:p>
    <w:p w14:paraId="2D2D07DC" w14:textId="1CAF7B13" w:rsidR="00900BA7" w:rsidRPr="00900BA7" w:rsidRDefault="00900BA7" w:rsidP="000B18E5">
      <w:pPr>
        <w:pStyle w:val="NoSpacing"/>
      </w:pPr>
      <w:r>
        <w:t xml:space="preserve">Delay may be unreasonable, notwithstanding Crown’s efforts to minimize delay: </w:t>
      </w:r>
      <w:r>
        <w:rPr>
          <w:i/>
        </w:rPr>
        <w:t xml:space="preserve">R v Villanti, </w:t>
      </w:r>
      <w:hyperlink r:id="rId351" w:history="1">
        <w:r w:rsidRPr="00900BA7">
          <w:rPr>
            <w:rStyle w:val="Hyperlink"/>
          </w:rPr>
          <w:t>2020 ONCA 755</w:t>
        </w:r>
      </w:hyperlink>
      <w:r>
        <w:t>, at paras 35-40</w:t>
      </w:r>
    </w:p>
    <w:p w14:paraId="1D998E83" w14:textId="31AAFE40" w:rsidR="006E53E3" w:rsidRPr="00BB3634" w:rsidRDefault="006E53E3" w:rsidP="000B18E5">
      <w:pPr>
        <w:pStyle w:val="NoSpacing"/>
      </w:pPr>
    </w:p>
    <w:p w14:paraId="07E8A08A" w14:textId="2A4D406B" w:rsidR="008F0AC5" w:rsidRPr="00BB3634" w:rsidRDefault="008F0AC5" w:rsidP="00C27569">
      <w:pPr>
        <w:pStyle w:val="Heading2"/>
        <w:numPr>
          <w:ilvl w:val="0"/>
          <w:numId w:val="5"/>
        </w:numPr>
        <w:spacing w:line="276" w:lineRule="auto"/>
        <w:ind w:left="360"/>
      </w:pPr>
      <w:bookmarkStart w:id="127" w:name="_Toc94360208"/>
      <w:r w:rsidRPr="00BB3634">
        <w:lastRenderedPageBreak/>
        <w:t xml:space="preserve">Post </w:t>
      </w:r>
      <w:r w:rsidRPr="00C27569">
        <w:rPr>
          <w:rFonts w:cs="Arial"/>
        </w:rPr>
        <w:t>Evidence</w:t>
      </w:r>
      <w:r w:rsidRPr="00BB3634">
        <w:t xml:space="preserve"> Delay</w:t>
      </w:r>
      <w:bookmarkEnd w:id="127"/>
    </w:p>
    <w:p w14:paraId="6EDA6B9F" w14:textId="77777777" w:rsidR="008F0AC5" w:rsidRPr="00BB3634" w:rsidRDefault="008F0AC5" w:rsidP="000B18E5">
      <w:pPr>
        <w:pStyle w:val="NoSpacing"/>
      </w:pPr>
    </w:p>
    <w:p w14:paraId="54096A8B" w14:textId="77777777" w:rsidR="008F0AC5" w:rsidRPr="00BB3634" w:rsidRDefault="008F0AC5" w:rsidP="000B18E5">
      <w:pPr>
        <w:pStyle w:val="NoSpacing"/>
      </w:pPr>
      <w:r w:rsidRPr="00BB3634">
        <w:t>Although the right to be tried within a reasonable time enshrined in </w:t>
      </w:r>
      <w:hyperlink r:id="rId352" w:anchor="!fragment/sec11" w:tgtFrame="_blank" w:history="1">
        <w:r w:rsidRPr="00BB3634">
          <w:rPr>
            <w:rStyle w:val="Hyperlink"/>
            <w:color w:val="000000"/>
            <w:u w:val="none"/>
          </w:rPr>
          <w:t>s. 11</w:t>
        </w:r>
        <w:r w:rsidRPr="00BB3634">
          <w:rPr>
            <w:rStyle w:val="decisia-reflex2-icon"/>
          </w:rPr>
          <w:t> </w:t>
        </w:r>
      </w:hyperlink>
      <w:r w:rsidRPr="00BB3634">
        <w:t>(b) extends beyond the end of the evidence and argument at trial and encompasses verdict deliberation time, the presumptive ceilings established by the Court in Jordan do not. roperly construed, the </w:t>
      </w:r>
      <w:r w:rsidRPr="00BB3634">
        <w:rPr>
          <w:i/>
        </w:rPr>
        <w:t>Jordan</w:t>
      </w:r>
      <w:r w:rsidRPr="00BB3634">
        <w:t> ceilings apply from the date of the charge until the actual or anticipated end of the evidence and argument. Where an accused claims that the trial judge’s verdict deliberation time breached their </w:t>
      </w:r>
      <w:hyperlink r:id="rId353" w:anchor="!fragment/sec11" w:tgtFrame="_blank" w:history="1">
        <w:r w:rsidRPr="00BB3634">
          <w:rPr>
            <w:rStyle w:val="Hyperlink"/>
            <w:color w:val="000000"/>
            <w:u w:val="none"/>
          </w:rPr>
          <w:t>s. 11</w:t>
        </w:r>
        <w:r w:rsidRPr="00BB3634">
          <w:rPr>
            <w:rStyle w:val="decisia-reflex2-icon"/>
          </w:rPr>
          <w:t> </w:t>
        </w:r>
      </w:hyperlink>
      <w:r w:rsidRPr="00BB3634">
        <w:t xml:space="preserve">(b) right to be tried within a reasonable time, they must establish that the deliberations took markedly longer that they reasonably should have in all of the circumstances. </w:t>
      </w:r>
    </w:p>
    <w:p w14:paraId="7A1DECEE" w14:textId="77777777" w:rsidR="008F0AC5" w:rsidRPr="00BB3634" w:rsidRDefault="008F0AC5" w:rsidP="000B18E5">
      <w:pPr>
        <w:pStyle w:val="NoSpacing"/>
      </w:pPr>
    </w:p>
    <w:p w14:paraId="70727CD6" w14:textId="77777777" w:rsidR="008F0AC5" w:rsidRPr="00BB3634" w:rsidRDefault="008F0AC5" w:rsidP="000B18E5">
      <w:pPr>
        <w:pStyle w:val="NoSpacing"/>
      </w:pPr>
      <w:r w:rsidRPr="00BB3634">
        <w:t xml:space="preserve">The burden on the accused is a heavy one due to the operation of the presumption of judicial integrity. The presumption of judicial integrity operates in this context to create a presumption that the trial judge balanced the need for timeliness, trial fairness considerations, and the practical constraints they faced, and took only as much time as was reasonably necessary in the circumstances to render a just verdict. </w:t>
      </w:r>
    </w:p>
    <w:p w14:paraId="7D046FFD" w14:textId="77777777" w:rsidR="008F0AC5" w:rsidRPr="00BB3634" w:rsidRDefault="008F0AC5" w:rsidP="000B18E5">
      <w:pPr>
        <w:pStyle w:val="NoSpacing"/>
      </w:pPr>
    </w:p>
    <w:p w14:paraId="47F22773" w14:textId="56D7DB65" w:rsidR="008F0AC5" w:rsidRPr="00BB3634" w:rsidRDefault="008F0AC5" w:rsidP="000B18E5">
      <w:pPr>
        <w:pStyle w:val="NoSpacing"/>
      </w:pPr>
      <w:r w:rsidRPr="00BB3634">
        <w:t>                    In conducting this objective assessment, the reviewing court should consider all of the circumstances. Some relevant considerations include: the length of the verdict deliberation time; how close to the relevant </w:t>
      </w:r>
      <w:r w:rsidRPr="00BB3634">
        <w:rPr>
          <w:i/>
        </w:rPr>
        <w:t>Jordan</w:t>
      </w:r>
      <w:r w:rsidRPr="00BB3634">
        <w:t xml:space="preserve"> ceiling the case was before the trial judge reserved judgment; the complexity of the case; and anything on the record from the judge or the court. It may also be helpful to compare the length of time taken with the time that a case of a similar nature in similar circumstances would typically take to be decided: </w:t>
      </w:r>
      <w:r w:rsidRPr="00BB3634">
        <w:rPr>
          <w:i/>
        </w:rPr>
        <w:t xml:space="preserve">R v KGK, </w:t>
      </w:r>
      <w:hyperlink r:id="rId354" w:history="1">
        <w:r w:rsidRPr="00BB3634">
          <w:rPr>
            <w:rStyle w:val="Hyperlink"/>
          </w:rPr>
          <w:t>2020 SCC 7</w:t>
        </w:r>
      </w:hyperlink>
    </w:p>
    <w:p w14:paraId="09C24B9B" w14:textId="77777777" w:rsidR="008F0AC5" w:rsidRPr="00BB3634" w:rsidRDefault="008F0AC5" w:rsidP="00BB3634">
      <w:pPr>
        <w:spacing w:line="276" w:lineRule="auto"/>
        <w:rPr>
          <w:rFonts w:ascii="Arial" w:hAnsi="Arial" w:cs="Arial"/>
          <w:lang w:val="en-US"/>
        </w:rPr>
      </w:pPr>
    </w:p>
    <w:p w14:paraId="6E4D3DF3" w14:textId="77777777" w:rsidR="00A91893" w:rsidRPr="00BB3634" w:rsidRDefault="00A91893" w:rsidP="000B18E5">
      <w:pPr>
        <w:pStyle w:val="NoSpacing"/>
      </w:pPr>
    </w:p>
    <w:p w14:paraId="3693D71E" w14:textId="7CE0E904" w:rsidR="005B1289" w:rsidRPr="00BB3634" w:rsidRDefault="005B1289" w:rsidP="00C27569">
      <w:pPr>
        <w:pStyle w:val="Heading2"/>
        <w:numPr>
          <w:ilvl w:val="0"/>
          <w:numId w:val="5"/>
        </w:numPr>
        <w:spacing w:line="276" w:lineRule="auto"/>
        <w:ind w:left="360"/>
      </w:pPr>
      <w:bookmarkStart w:id="128" w:name="_Toc94360209"/>
      <w:r w:rsidRPr="00BB3634">
        <w:t>Post Verdict Delay</w:t>
      </w:r>
      <w:bookmarkEnd w:id="128"/>
    </w:p>
    <w:p w14:paraId="7DDC196E" w14:textId="7DDE92B9" w:rsidR="005956AC" w:rsidRDefault="005956AC" w:rsidP="000B18E5">
      <w:pPr>
        <w:pStyle w:val="NoSpacing"/>
      </w:pPr>
    </w:p>
    <w:p w14:paraId="5EAFCD13" w14:textId="77777777" w:rsidR="00522A46" w:rsidRPr="00BB3634" w:rsidRDefault="00522A46" w:rsidP="000B18E5">
      <w:pPr>
        <w:pStyle w:val="NoSpacing"/>
      </w:pPr>
    </w:p>
    <w:p w14:paraId="2948C703" w14:textId="091821FA" w:rsidR="005B1289" w:rsidRPr="00BB3634" w:rsidRDefault="005B1289" w:rsidP="000B18E5">
      <w:pPr>
        <w:pStyle w:val="NoSpacing"/>
      </w:pPr>
      <w:r w:rsidRPr="00BB3634">
        <w:t xml:space="preserve">The presumptive ceilings set out in </w:t>
      </w:r>
      <w:r w:rsidRPr="00BB3634">
        <w:rPr>
          <w:i/>
        </w:rPr>
        <w:t xml:space="preserve">Jordan </w:t>
      </w:r>
      <w:r w:rsidRPr="00BB3634">
        <w:t xml:space="preserve">do not apply to post-verdict delay: </w:t>
      </w:r>
      <w:r w:rsidRPr="00BB3634">
        <w:rPr>
          <w:i/>
        </w:rPr>
        <w:t xml:space="preserve">R v Charley, </w:t>
      </w:r>
      <w:hyperlink r:id="rId355" w:history="1">
        <w:r w:rsidRPr="00BB3634">
          <w:rPr>
            <w:rStyle w:val="Hyperlink"/>
          </w:rPr>
          <w:t>2019 ONCA 726</w:t>
        </w:r>
      </w:hyperlink>
      <w:r w:rsidRPr="00BB3634">
        <w:t>, at para 58</w:t>
      </w:r>
    </w:p>
    <w:p w14:paraId="5673AA79" w14:textId="2E5FCDAF" w:rsidR="005B1289" w:rsidRPr="00BB3634" w:rsidRDefault="005B1289" w:rsidP="000B18E5">
      <w:pPr>
        <w:pStyle w:val="NoSpacing"/>
      </w:pPr>
    </w:p>
    <w:p w14:paraId="2C62715E" w14:textId="0E7C8B7E" w:rsidR="005B1289" w:rsidRPr="00BB3634" w:rsidRDefault="005B1289" w:rsidP="000B18E5">
      <w:pPr>
        <w:pStyle w:val="NoSpacing"/>
      </w:pPr>
      <w:r w:rsidRPr="00BB3634">
        <w:t xml:space="preserve">The presumptive ceiling for post-verdict delay at five months. Five months is the point at which the delay is sufficiently long that it is regarded as presumptively </w:t>
      </w:r>
      <w:r w:rsidRPr="00BB3634">
        <w:lastRenderedPageBreak/>
        <w:t xml:space="preserve">unreasonable for the purposes of s. 11(b). The onus falls to the Crown to justify the delay: </w:t>
      </w:r>
      <w:r w:rsidRPr="00BB3634">
        <w:rPr>
          <w:i/>
        </w:rPr>
        <w:t xml:space="preserve">R v Charley, </w:t>
      </w:r>
      <w:hyperlink r:id="rId356" w:history="1">
        <w:r w:rsidRPr="00BB3634">
          <w:rPr>
            <w:rStyle w:val="Hyperlink"/>
          </w:rPr>
          <w:t>2019 ONCA 726</w:t>
        </w:r>
      </w:hyperlink>
      <w:r w:rsidRPr="00BB3634">
        <w:t>, at para 76</w:t>
      </w:r>
    </w:p>
    <w:p w14:paraId="327BFB0D" w14:textId="69B0181A" w:rsidR="00B81E11" w:rsidRDefault="00B81E11" w:rsidP="000B18E5">
      <w:pPr>
        <w:pStyle w:val="NoSpacing"/>
      </w:pPr>
    </w:p>
    <w:p w14:paraId="6CAD7D45" w14:textId="69912971" w:rsidR="00522A46" w:rsidRPr="00522A46" w:rsidRDefault="00522A46" w:rsidP="000B18E5">
      <w:pPr>
        <w:pStyle w:val="NoSpacing"/>
      </w:pPr>
      <w:r w:rsidRPr="00522A46">
        <w:t>Entrapment hearings do not apply to the Jordan presumptive ceilings. Rather, they count as post-trial motions unrelated to sentencing. It is not possible to prescribe a presumptive ceiling for the completion of post-trial motions. The number and complexity of post-trial motions will vary with each case. The time taken for post-trial motions should not be unreasonable considering the number and complexity of the motions in the specific circumstances of the particular case</w:t>
      </w:r>
      <w:r>
        <w:t xml:space="preserve">: </w:t>
      </w:r>
      <w:r>
        <w:rPr>
          <w:i/>
        </w:rPr>
        <w:t xml:space="preserve">R v Haniffa, </w:t>
      </w:r>
      <w:hyperlink r:id="rId357" w:history="1">
        <w:r w:rsidRPr="00522A46">
          <w:rPr>
            <w:rStyle w:val="Hyperlink"/>
          </w:rPr>
          <w:t>2021 ONCA 326</w:t>
        </w:r>
      </w:hyperlink>
      <w:r>
        <w:t>, at para 36</w:t>
      </w:r>
    </w:p>
    <w:p w14:paraId="23997A52" w14:textId="77777777" w:rsidR="00522A46" w:rsidRPr="00BB3634" w:rsidRDefault="00522A46" w:rsidP="000B18E5">
      <w:pPr>
        <w:pStyle w:val="NoSpacing"/>
      </w:pPr>
    </w:p>
    <w:p w14:paraId="4C91926C" w14:textId="18539928" w:rsidR="00662185" w:rsidRDefault="005B1289" w:rsidP="000B18E5">
      <w:pPr>
        <w:pStyle w:val="NoSpacing"/>
      </w:pPr>
      <w:r w:rsidRPr="00BB3634">
        <w:t>It is arguable that the remedy for post-verdict delay should not affect the conviction, but should be based on a determination of the “appropriate and just” remedy as it relates to sentencing. Appropriate remedies might include a stay of the sentencing, or a stay of the enforcement of all or part of the sentence imposed</w:t>
      </w:r>
      <w:r w:rsidR="00B81E11" w:rsidRPr="00BB3634">
        <w:t xml:space="preserve">: </w:t>
      </w:r>
      <w:r w:rsidR="00B81E11" w:rsidRPr="00BB3634">
        <w:rPr>
          <w:i/>
        </w:rPr>
        <w:t xml:space="preserve">R v Charley, </w:t>
      </w:r>
      <w:hyperlink r:id="rId358" w:history="1">
        <w:r w:rsidR="00B81E11" w:rsidRPr="00BB3634">
          <w:rPr>
            <w:rStyle w:val="Hyperlink"/>
          </w:rPr>
          <w:t>2019 ONCA 726</w:t>
        </w:r>
      </w:hyperlink>
      <w:r w:rsidR="00B81E11" w:rsidRPr="00BB3634">
        <w:t>, at para 114</w:t>
      </w:r>
    </w:p>
    <w:p w14:paraId="5A275F48" w14:textId="337F3F7F" w:rsidR="00492167" w:rsidRDefault="00492167" w:rsidP="000B18E5">
      <w:pPr>
        <w:pStyle w:val="NoSpacing"/>
      </w:pPr>
    </w:p>
    <w:p w14:paraId="33B3CC05" w14:textId="0A50ED56" w:rsidR="00492167" w:rsidRPr="00492167" w:rsidRDefault="00492167" w:rsidP="000B18E5">
      <w:pPr>
        <w:pStyle w:val="NoSpacing"/>
      </w:pPr>
      <w:r w:rsidRPr="00492167">
        <w:t>A case in which a Gardiner hearing becomes necessary is not the routine sentencing framework contemplated by this court in Charley when the presumptive ceiling of five months was set</w:t>
      </w:r>
      <w:r>
        <w:t xml:space="preserve">: </w:t>
      </w:r>
      <w:r>
        <w:rPr>
          <w:i/>
        </w:rPr>
        <w:t xml:space="preserve">R v Lewis, </w:t>
      </w:r>
      <w:hyperlink r:id="rId359" w:history="1">
        <w:r w:rsidRPr="00492167">
          <w:rPr>
            <w:rStyle w:val="Hyperlink"/>
          </w:rPr>
          <w:t>2021 ONCA 59</w:t>
        </w:r>
      </w:hyperlink>
      <w:r>
        <w:t>, at para 12</w:t>
      </w:r>
    </w:p>
    <w:p w14:paraId="4FCBD13A" w14:textId="59268AA4" w:rsidR="00662185" w:rsidRPr="00BB3634" w:rsidRDefault="00662185" w:rsidP="000B18E5">
      <w:pPr>
        <w:pStyle w:val="NoSpacing"/>
      </w:pPr>
    </w:p>
    <w:p w14:paraId="36A196FC" w14:textId="61F97377" w:rsidR="00662185" w:rsidRPr="00BB3634" w:rsidRDefault="00662185" w:rsidP="000B18E5">
      <w:pPr>
        <w:pStyle w:val="NoSpacing"/>
      </w:pPr>
      <w:r w:rsidRPr="00BB3634">
        <w:t xml:space="preserve">In </w:t>
      </w:r>
      <w:r w:rsidRPr="00BB3634">
        <w:rPr>
          <w:i/>
        </w:rPr>
        <w:t xml:space="preserve">Hartling, </w:t>
      </w:r>
      <w:r w:rsidRPr="00BB3634">
        <w:t xml:space="preserve">the Court of Appeal held that 14 months of post-verdict delay to obtain a </w:t>
      </w:r>
      <w:r w:rsidRPr="00BB3634">
        <w:rPr>
          <w:i/>
        </w:rPr>
        <w:t xml:space="preserve">Gladue </w:t>
      </w:r>
      <w:r w:rsidRPr="00BB3634">
        <w:t>report was unreasonable. The Court concluded that the appropriate remedy was enhanced mitigation against the appellant’s sentence, reducing a 30 month sentence to a 25 month sentence</w:t>
      </w:r>
      <w:r w:rsidR="004C2F3B">
        <w:t xml:space="preserve"> – rather than a stay </w:t>
      </w:r>
      <w:r w:rsidRPr="00BB3634">
        <w:t xml:space="preserve">: </w:t>
      </w:r>
      <w:r w:rsidRPr="00BB3634">
        <w:rPr>
          <w:i/>
        </w:rPr>
        <w:t xml:space="preserve">R v Hartling, </w:t>
      </w:r>
      <w:hyperlink r:id="rId360" w:anchor="_ftnref3" w:history="1">
        <w:r w:rsidRPr="00BB3634">
          <w:rPr>
            <w:rStyle w:val="Hyperlink"/>
          </w:rPr>
          <w:t>2020 ONCA 243</w:t>
        </w:r>
      </w:hyperlink>
      <w:r w:rsidRPr="00BB3634">
        <w:t>, at paras 96-120</w:t>
      </w:r>
    </w:p>
    <w:p w14:paraId="3F541296" w14:textId="77777777" w:rsidR="005B1289" w:rsidRPr="00BB3634" w:rsidRDefault="005B1289" w:rsidP="000B18E5">
      <w:pPr>
        <w:pStyle w:val="NoSpacing"/>
      </w:pPr>
    </w:p>
    <w:p w14:paraId="6EA4A9AF" w14:textId="61BFD5D1" w:rsidR="005B1289" w:rsidRPr="00BB3634" w:rsidRDefault="005B1289" w:rsidP="000B18E5">
      <w:pPr>
        <w:pStyle w:val="NoSpacing"/>
      </w:pPr>
      <w:r w:rsidRPr="00BB3634">
        <w:t>At sentencing, an accused is no longer presumed innocent. Nor does the right to silence permit the defence to withhold disclosure of what it proposes to do on sentence. A trial judge’s power to control trial proceedings includes the power to require counsel on both sides to lay out their “game plan” for sentencing very early in the sentencing process. That “game plan” should include a realistic estimate as to how much court time will be needed to deal with sentencing. If dates are set based on those estimates, counsel must expect they will be required to adhere to them. In taking firm but fair control over the sentencing process, the trial judge can invoke the powerful language in </w:t>
      </w:r>
      <w:r w:rsidRPr="00BB3634">
        <w:rPr>
          <w:i/>
        </w:rPr>
        <w:t>Jordan</w:t>
      </w:r>
      <w:r w:rsidRPr="00BB3634">
        <w:t>, to the effect that all participants in the criminal justice system have an obligation to work toward achieving prompt justice: </w:t>
      </w:r>
      <w:r w:rsidRPr="00BB3634">
        <w:rPr>
          <w:i/>
        </w:rPr>
        <w:t xml:space="preserve">R v Charley, </w:t>
      </w:r>
      <w:hyperlink r:id="rId361" w:history="1">
        <w:r w:rsidRPr="00BB3634">
          <w:rPr>
            <w:rStyle w:val="Hyperlink"/>
          </w:rPr>
          <w:t>2019 ONCA 726</w:t>
        </w:r>
      </w:hyperlink>
      <w:r w:rsidRPr="00BB3634">
        <w:t>, at para 75</w:t>
      </w:r>
    </w:p>
    <w:p w14:paraId="158D71EA" w14:textId="77777777" w:rsidR="005B1289" w:rsidRPr="00BB3634" w:rsidRDefault="005B1289" w:rsidP="000B18E5">
      <w:pPr>
        <w:pStyle w:val="NoSpacing"/>
      </w:pPr>
    </w:p>
    <w:p w14:paraId="4521C0B3" w14:textId="5CB7E307" w:rsidR="005B1289" w:rsidRPr="00BB3634" w:rsidRDefault="005B1289" w:rsidP="000B18E5">
      <w:pPr>
        <w:pStyle w:val="NoSpacing"/>
      </w:pPr>
      <w:r w:rsidRPr="00BB3634">
        <w:lastRenderedPageBreak/>
        <w:t>Counsel should provide opposing counsel with material to be relied on well before the scheduled sentencing date. Any unexpected problems with holding and completing the sentencing on the selected date should be brought to the attention of the court and opposing counsel immediately, so that steps can be taken to minimize the delay. Crown counsel who do not fully engage in this cooperative process will find it difficult to justify any delay above the presumptive ceiling:</w:t>
      </w:r>
      <w:r w:rsidRPr="00BB3634">
        <w:rPr>
          <w:i/>
        </w:rPr>
        <w:t> Jordan</w:t>
      </w:r>
      <w:r w:rsidRPr="00BB3634">
        <w:t>, at para. 70. Defence counsel who fail in their obligation to participate in the appropriate management of the sentencing process may find causally related delays attributed to the defence or viewed as implicitly waived by the defence conduct.</w:t>
      </w:r>
    </w:p>
    <w:p w14:paraId="4A587626" w14:textId="77777777" w:rsidR="005B1289" w:rsidRPr="00BB3634" w:rsidRDefault="005B1289" w:rsidP="000B18E5">
      <w:pPr>
        <w:pStyle w:val="NoSpacing"/>
      </w:pPr>
    </w:p>
    <w:p w14:paraId="3AEA72A3" w14:textId="3D3F8EDD" w:rsidR="005B1289" w:rsidRPr="00BB3634" w:rsidRDefault="005B1289" w:rsidP="000B18E5">
      <w:pPr>
        <w:pStyle w:val="NoSpacing"/>
      </w:pPr>
      <w:r w:rsidRPr="00BB3634">
        <w:t>In cases in which the sentencing proceeding will be complex, the parties should be required very soon after the verdict to make the trial judge aware of the issues that will be raised on sentencing. In doing so, counsel must be prepared to discuss those issues and their potential complexities in some detail and with some precision. Vague references to evidence that might or might not be called in respect of undefined issues are not good enough and should not be accepted by the trial judge. All parties are responsible for developing a plan that will allow the sentencing to proceed expeditiously.</w:t>
      </w:r>
    </w:p>
    <w:p w14:paraId="682566FC" w14:textId="77777777" w:rsidR="005B1289" w:rsidRPr="00BB3634" w:rsidRDefault="005B1289" w:rsidP="000B18E5">
      <w:pPr>
        <w:pStyle w:val="NoSpacing"/>
      </w:pPr>
    </w:p>
    <w:p w14:paraId="4F3CA85D" w14:textId="7DECC156" w:rsidR="005B1289" w:rsidRPr="00BB3634" w:rsidRDefault="005B1289" w:rsidP="000B18E5">
      <w:pPr>
        <w:pStyle w:val="NoSpacing"/>
      </w:pPr>
      <w:r w:rsidRPr="00BB3634">
        <w:t>When a trial judge has been alerted to complex issues that will be raised on sentence, the trial judge should set an appropriate schedule with counsel to address those issues in a timely and efficient manner. That schedule must keep the presumptive ceiling firmly in mind. If it appears to the trial judge that the proposed plans of counsel could run up against the presumptive ceiling, the trial judge should raise that issue with counsel at the scheduling meeting. Counsel should be asked to specifically address issues such as waiver and exceptional circumstances considered in the context of their proposed plans with respect to sentencing. Potential s. 11(b) problems should be confronted and addressed before they become s. 11(b) violations.</w:t>
      </w:r>
    </w:p>
    <w:p w14:paraId="3C0D835F" w14:textId="77777777" w:rsidR="005B1289" w:rsidRPr="00BB3634" w:rsidRDefault="005B1289" w:rsidP="000B18E5">
      <w:pPr>
        <w:pStyle w:val="NoSpacing"/>
      </w:pPr>
    </w:p>
    <w:p w14:paraId="76DA56CF" w14:textId="1B384420" w:rsidR="005B1289" w:rsidRPr="00C57050" w:rsidRDefault="005B1289" w:rsidP="00C57050">
      <w:pPr>
        <w:pStyle w:val="NoSpacing"/>
        <w:rPr>
          <w:i/>
        </w:rPr>
      </w:pPr>
      <w:r w:rsidRPr="00BB3634">
        <w:t xml:space="preserve">The trial judge is entitled to expect a high level of cooperation between counsel on sentencing. For example, the impact of pre-trial custody conditions on sentence has become a commonly litigated matter. Counsel should be well-aware of the kind of material that should be put before the trial judge in support of a claim that the sentence should be mitigated to reflect those pre-trial conditions. Defence counsel should be able to identify, with particularity, the material needed. The trial judge is entitled to look to the Crown to cooperate with the defence in obtaining that material, especially if it is in the hands of government agencies: </w:t>
      </w:r>
      <w:r w:rsidRPr="00BB3634">
        <w:rPr>
          <w:i/>
        </w:rPr>
        <w:t xml:space="preserve">R v Charley, </w:t>
      </w:r>
      <w:hyperlink r:id="rId362" w:history="1">
        <w:r w:rsidRPr="00BB3634">
          <w:rPr>
            <w:rStyle w:val="Hyperlink"/>
          </w:rPr>
          <w:t>2019 ONCA 726</w:t>
        </w:r>
      </w:hyperlink>
      <w:r w:rsidRPr="00BB3634">
        <w:t>, at paras 89-92</w:t>
      </w:r>
    </w:p>
    <w:p w14:paraId="3D165696" w14:textId="000DE667" w:rsidR="00880F05" w:rsidRPr="00BB3634" w:rsidRDefault="007C2800" w:rsidP="00C27569">
      <w:pPr>
        <w:pStyle w:val="Heading2"/>
        <w:numPr>
          <w:ilvl w:val="0"/>
          <w:numId w:val="5"/>
        </w:numPr>
        <w:spacing w:line="276" w:lineRule="auto"/>
        <w:ind w:left="360"/>
      </w:pPr>
      <w:bookmarkStart w:id="129" w:name="_Toc94360210"/>
      <w:r w:rsidRPr="00BB3634">
        <w:lastRenderedPageBreak/>
        <w:t>Retrials</w:t>
      </w:r>
      <w:bookmarkEnd w:id="129"/>
    </w:p>
    <w:p w14:paraId="0BE5BF53" w14:textId="77777777" w:rsidR="007C2800" w:rsidRPr="00BB3634" w:rsidRDefault="007C2800" w:rsidP="00BB3634">
      <w:pPr>
        <w:spacing w:line="276" w:lineRule="auto"/>
        <w:rPr>
          <w:rFonts w:ascii="Arial" w:hAnsi="Arial" w:cs="Arial"/>
        </w:rPr>
      </w:pPr>
    </w:p>
    <w:p w14:paraId="1D83CFAE" w14:textId="6E79C820" w:rsidR="007C2800" w:rsidRPr="00BB3634" w:rsidRDefault="007C2800" w:rsidP="000B18E5">
      <w:pPr>
        <w:pStyle w:val="NoSpacing"/>
      </w:pPr>
      <w:r w:rsidRPr="00BB3634">
        <w:t xml:space="preserve">The Jordan criteria must be understood in the context of the Crown’s duty to re-try cases as soon as possible. The 18-month presumptive ceiling established for a first trial may be too long in the circumstances of a re-trial. Re-trials must receive priority in the system, and in the normal course re-trials in the Ontario Court of Justice should occur well before Jordan’s 18-month presumptive ceiling. It may be that a lower presumptive ceiling is appropriate for re-trials: R v MacIsaac, </w:t>
      </w:r>
      <w:hyperlink r:id="rId363" w:history="1">
        <w:r w:rsidRPr="00BB3634">
          <w:rPr>
            <w:rStyle w:val="Hyperlink"/>
            <w:color w:val="000000" w:themeColor="text1"/>
            <w:u w:val="none"/>
          </w:rPr>
          <w:t>2018 ONCA 650</w:t>
        </w:r>
      </w:hyperlink>
      <w:r w:rsidRPr="00BB3634">
        <w:t xml:space="preserve"> at paras 27-28</w:t>
      </w:r>
      <w:r w:rsidR="00003CA0" w:rsidRPr="00BB3634">
        <w:t>, 52, 59</w:t>
      </w:r>
    </w:p>
    <w:p w14:paraId="621FA795" w14:textId="77777777" w:rsidR="006325EB" w:rsidRPr="00BB3634" w:rsidRDefault="006325EB" w:rsidP="000B18E5">
      <w:pPr>
        <w:pStyle w:val="NoSpacing"/>
      </w:pPr>
    </w:p>
    <w:p w14:paraId="7E2B01C5" w14:textId="0CFEA223" w:rsidR="006E53E3" w:rsidRPr="00BB3634" w:rsidRDefault="006325EB" w:rsidP="000B18E5">
      <w:pPr>
        <w:pStyle w:val="NoSpacing"/>
      </w:pPr>
      <w:r w:rsidRPr="00BB3634">
        <w:t xml:space="preserve">Where an appeal is allowed allowing a new trial, the 11(b) clock </w:t>
      </w:r>
      <w:r w:rsidR="00121419">
        <w:t>re-</w:t>
      </w:r>
      <w:r w:rsidRPr="00BB3634">
        <w:t xml:space="preserve">starts to run from the date of the appellate court’s decision. This is because the right to be tried within a reasonable time arises on being charged with an offence. An appellate court’s order quashing the appellant’s conviction leaves him/her in the position of being a person charged with an offence: </w:t>
      </w:r>
      <w:r w:rsidRPr="00BB3634">
        <w:rPr>
          <w:i/>
        </w:rPr>
        <w:t xml:space="preserve">MacIsaac </w:t>
      </w:r>
      <w:r w:rsidRPr="00BB3634">
        <w:t>at para 31</w:t>
      </w:r>
    </w:p>
    <w:p w14:paraId="736CE2C8" w14:textId="7FC89834" w:rsidR="006325EB" w:rsidRPr="00BB3634" w:rsidRDefault="006325EB" w:rsidP="000B18E5">
      <w:pPr>
        <w:pStyle w:val="NoSpacing"/>
      </w:pPr>
    </w:p>
    <w:p w14:paraId="68AAE9AA" w14:textId="77777777" w:rsidR="005956AC" w:rsidRPr="00BB3634" w:rsidRDefault="005956AC" w:rsidP="000B18E5">
      <w:pPr>
        <w:pStyle w:val="NoSpacing"/>
      </w:pPr>
    </w:p>
    <w:p w14:paraId="136501CE" w14:textId="63208D79" w:rsidR="007035B6" w:rsidRPr="00BB3634" w:rsidRDefault="007035B6" w:rsidP="00C27569">
      <w:pPr>
        <w:pStyle w:val="Heading2"/>
        <w:numPr>
          <w:ilvl w:val="0"/>
          <w:numId w:val="5"/>
        </w:numPr>
        <w:spacing w:line="276" w:lineRule="auto"/>
        <w:ind w:left="360"/>
      </w:pPr>
      <w:bookmarkStart w:id="130" w:name="_Toc94360211"/>
      <w:r w:rsidRPr="00BB3634">
        <w:t>Reelections</w:t>
      </w:r>
      <w:bookmarkEnd w:id="130"/>
    </w:p>
    <w:p w14:paraId="4EC6422B" w14:textId="26E54D41" w:rsidR="007035B6" w:rsidRPr="00BB3634" w:rsidRDefault="007035B6" w:rsidP="00BB3634">
      <w:pPr>
        <w:spacing w:line="276" w:lineRule="auto"/>
        <w:rPr>
          <w:rFonts w:ascii="Arial" w:hAnsi="Arial" w:cs="Arial"/>
          <w:lang w:val="en-US"/>
        </w:rPr>
      </w:pPr>
    </w:p>
    <w:p w14:paraId="6A8C8A16" w14:textId="32B9ED8A" w:rsidR="007035B6" w:rsidRPr="00BB3634" w:rsidRDefault="007035B6" w:rsidP="000B18E5">
      <w:pPr>
        <w:pStyle w:val="NoSpacing"/>
      </w:pPr>
      <w:r w:rsidRPr="00BB3634">
        <w:t>When a reelection occurs before a preliminary inquiry to conduct a trial in the Ontario Court of Justice, the 18 month ceiling applies. Section 561(1) of the </w:t>
      </w:r>
      <w:r w:rsidRPr="00BB3634">
        <w:rPr>
          <w:i/>
        </w:rPr>
        <w:t>Criminal Code</w:t>
      </w:r>
      <w:r w:rsidRPr="00BB3634">
        <w:t xml:space="preserve"> requires Crown consent before the accused can re-elect to a trial by a provincial court judge. Where re-election would create the risk of s. 11(b) problems, the Crown has the authority to, and should, refuse consent, absent a s. 11(b) waiver: </w:t>
      </w:r>
      <w:r w:rsidRPr="00BB3634">
        <w:rPr>
          <w:i/>
        </w:rPr>
        <w:t xml:space="preserve">R v Shaikh, </w:t>
      </w:r>
      <w:hyperlink r:id="rId364" w:history="1">
        <w:r w:rsidRPr="00BB3634">
          <w:rPr>
            <w:rStyle w:val="Hyperlink"/>
          </w:rPr>
          <w:t>2019 ONCA 895</w:t>
        </w:r>
      </w:hyperlink>
      <w:r w:rsidRPr="00BB3634">
        <w:t>, at paras 47-58</w:t>
      </w:r>
    </w:p>
    <w:p w14:paraId="45D18417" w14:textId="77777777" w:rsidR="007035B6" w:rsidRPr="00BB3634" w:rsidRDefault="007035B6" w:rsidP="00BB3634">
      <w:pPr>
        <w:spacing w:line="276" w:lineRule="auto"/>
        <w:rPr>
          <w:rFonts w:ascii="Arial" w:hAnsi="Arial" w:cs="Arial"/>
          <w:lang w:val="en-US"/>
        </w:rPr>
      </w:pPr>
    </w:p>
    <w:p w14:paraId="43755914" w14:textId="3A71ED11" w:rsidR="000F468A" w:rsidRPr="00BB3634" w:rsidRDefault="000F468A" w:rsidP="00C27569">
      <w:pPr>
        <w:pStyle w:val="Heading2"/>
        <w:numPr>
          <w:ilvl w:val="0"/>
          <w:numId w:val="5"/>
        </w:numPr>
        <w:spacing w:line="276" w:lineRule="auto"/>
        <w:ind w:left="360"/>
      </w:pPr>
      <w:bookmarkStart w:id="131" w:name="_Toc94360212"/>
      <w:r w:rsidRPr="00BB3634">
        <w:t>Extraordinary Remedies</w:t>
      </w:r>
      <w:bookmarkEnd w:id="131"/>
    </w:p>
    <w:p w14:paraId="0C71BFE7" w14:textId="77777777" w:rsidR="000F468A" w:rsidRPr="00BB3634" w:rsidRDefault="000F468A" w:rsidP="000B18E5">
      <w:pPr>
        <w:pStyle w:val="NoSpacing"/>
      </w:pPr>
    </w:p>
    <w:p w14:paraId="1235A276" w14:textId="5D23B8EC" w:rsidR="000F468A" w:rsidRPr="00BB3634" w:rsidRDefault="000F468A" w:rsidP="000B18E5">
      <w:pPr>
        <w:pStyle w:val="NoSpacing"/>
      </w:pPr>
      <w:r w:rsidRPr="00BB3634">
        <w:t>Where the Crown has brought a </w:t>
      </w:r>
      <w:r w:rsidRPr="00BB3634">
        <w:rPr>
          <w:i/>
        </w:rPr>
        <w:t>certiorari</w:t>
      </w:r>
      <w:r w:rsidRPr="00BB3634">
        <w:t> application and/or appealed from a decision granting or refusing </w:t>
      </w:r>
      <w:r w:rsidRPr="00BB3634">
        <w:rPr>
          <w:i/>
        </w:rPr>
        <w:t>certiorari</w:t>
      </w:r>
      <w:r w:rsidRPr="00BB3634">
        <w:t> resulting in net delay that exceeds the </w:t>
      </w:r>
      <w:r w:rsidRPr="00BB3634">
        <w:rPr>
          <w:i/>
        </w:rPr>
        <w:t>Jordan</w:t>
      </w:r>
      <w:r w:rsidRPr="00BB3634">
        <w:t xml:space="preserve"> ceiling, it should be open to the Crown to argue that such delay constitutes a discrete event. </w:t>
      </w:r>
    </w:p>
    <w:p w14:paraId="4FADA017" w14:textId="77777777" w:rsidR="000F468A" w:rsidRPr="00BB3634" w:rsidRDefault="000F468A" w:rsidP="000B18E5">
      <w:pPr>
        <w:pStyle w:val="NoSpacing"/>
      </w:pPr>
    </w:p>
    <w:p w14:paraId="0289363D" w14:textId="7D0BFB1E" w:rsidR="000F468A" w:rsidRPr="00BB3634" w:rsidRDefault="000F468A" w:rsidP="000B18E5">
      <w:pPr>
        <w:pStyle w:val="NoSpacing"/>
      </w:pPr>
      <w:r w:rsidRPr="00BB3634">
        <w:lastRenderedPageBreak/>
        <w:t xml:space="preserve">In determining whether delay caused by a Crown application should be excluded from the delay calculation, the reviewing judge must recognize the Crown’s discretion to take such steps and limit the analysis to a consideration of whether the Crown’s actions were frivolous, undertaken in bad faith, or executed in a dilatory manner. A frivolous application is one which has no arguable basis. </w:t>
      </w:r>
    </w:p>
    <w:p w14:paraId="63455C30" w14:textId="77777777" w:rsidR="000F468A" w:rsidRPr="00BB3634" w:rsidRDefault="000F468A" w:rsidP="000B18E5">
      <w:pPr>
        <w:pStyle w:val="NoSpacing"/>
      </w:pPr>
    </w:p>
    <w:p w14:paraId="2E97D376" w14:textId="73C368DC" w:rsidR="006E53E3" w:rsidRPr="00170066" w:rsidRDefault="000F468A" w:rsidP="000B18E5">
      <w:pPr>
        <w:pStyle w:val="NoSpacing"/>
      </w:pPr>
      <w:r w:rsidRPr="00BB3634">
        <w:t xml:space="preserve">With regard to defence applications, where they are frivolous or made in bad faith, they will generally constitute defence delay. Where they are brought in good faith, they constitute an exceptional circumstance because they would be outside of the control of the Crown, unless in opposing such an application or an appeal therefrom the Crown is acting in bad faith, taking a frivolous position, or responding in a dilatory manner: </w:t>
      </w:r>
      <w:r w:rsidRPr="00BB3634">
        <w:rPr>
          <w:i/>
        </w:rPr>
        <w:t xml:space="preserve">R v Tsega, </w:t>
      </w:r>
      <w:hyperlink r:id="rId365" w:history="1">
        <w:r w:rsidRPr="00BB3634">
          <w:rPr>
            <w:rStyle w:val="Hyperlink"/>
          </w:rPr>
          <w:t>2019 ONCA 111</w:t>
        </w:r>
      </w:hyperlink>
      <w:r w:rsidRPr="00BB3634">
        <w:t>, at paras 79, 81, 82</w:t>
      </w:r>
      <w:r w:rsidR="00170066">
        <w:t xml:space="preserve">; </w:t>
      </w:r>
      <w:r w:rsidR="00170066">
        <w:rPr>
          <w:i/>
        </w:rPr>
        <w:t xml:space="preserve">R v Daponte, </w:t>
      </w:r>
      <w:hyperlink r:id="rId366" w:history="1">
        <w:r w:rsidR="00170066" w:rsidRPr="00170066">
          <w:rPr>
            <w:rStyle w:val="Hyperlink"/>
            <w:iCs w:val="0"/>
          </w:rPr>
          <w:t>2021 ONCA 14</w:t>
        </w:r>
      </w:hyperlink>
      <w:r w:rsidR="00170066">
        <w:t>, at para 4</w:t>
      </w:r>
    </w:p>
    <w:p w14:paraId="70FDC543" w14:textId="77777777" w:rsidR="005956AC" w:rsidRPr="00BB3634" w:rsidRDefault="005956AC" w:rsidP="00BB3634">
      <w:pPr>
        <w:spacing w:line="276" w:lineRule="auto"/>
        <w:rPr>
          <w:rFonts w:ascii="Arial" w:hAnsi="Arial" w:cs="Arial"/>
        </w:rPr>
      </w:pPr>
    </w:p>
    <w:p w14:paraId="39CC88CF" w14:textId="3ADD8013" w:rsidR="00A155F3" w:rsidRPr="00BB3634" w:rsidRDefault="00A155F3" w:rsidP="00C27569">
      <w:pPr>
        <w:pStyle w:val="Heading2"/>
        <w:numPr>
          <w:ilvl w:val="0"/>
          <w:numId w:val="5"/>
        </w:numPr>
        <w:spacing w:line="276" w:lineRule="auto"/>
        <w:ind w:left="360"/>
      </w:pPr>
      <w:bookmarkStart w:id="132" w:name="_Toc94360213"/>
      <w:r w:rsidRPr="00BB3634">
        <w:t>Youth Court Justice</w:t>
      </w:r>
      <w:bookmarkEnd w:id="132"/>
    </w:p>
    <w:p w14:paraId="05A80B7E" w14:textId="77777777" w:rsidR="00A155F3" w:rsidRPr="00BB3634" w:rsidRDefault="00A155F3" w:rsidP="000B18E5">
      <w:pPr>
        <w:pStyle w:val="NoSpacing"/>
      </w:pPr>
      <w:r w:rsidRPr="00BB3634">
        <w:t xml:space="preserve">The </w:t>
      </w:r>
      <w:r w:rsidRPr="00BB3634">
        <w:rPr>
          <w:i/>
        </w:rPr>
        <w:t>Jordan</w:t>
      </w:r>
      <w:r w:rsidRPr="00BB3634">
        <w:t> principles and ceilings apply to youth justice.   The decision not to alter the </w:t>
      </w:r>
      <w:r w:rsidRPr="00BB3634">
        <w:rPr>
          <w:i/>
        </w:rPr>
        <w:t>Jordan</w:t>
      </w:r>
      <w:r w:rsidRPr="00BB3634">
        <w:t> ceilings to apply differently to youth justice court proceedings does not, however, mean that an accused’s youthfulness has no role to play under the </w:t>
      </w:r>
      <w:r w:rsidRPr="00BB3634">
        <w:rPr>
          <w:i/>
        </w:rPr>
        <w:t>Jordan </w:t>
      </w:r>
      <w:r w:rsidRPr="00BB3634">
        <w:t>framework. The enhanced need for timeliness in youth matters can and should be taken into account when determining whether delay falling below the presumptive ceiling is unreasonable. Like the other factors identified in </w:t>
      </w:r>
      <w:r w:rsidRPr="00BB3634">
        <w:rPr>
          <w:i/>
        </w:rPr>
        <w:t>Jordan</w:t>
      </w:r>
      <w:r w:rsidRPr="00BB3634">
        <w:t xml:space="preserve">, the enhanced need for timeliness in youth matters is simply one case-specific factor to consider when determining whether a case took (or is expected to take) markedly longer than it reasonably should have. </w:t>
      </w:r>
    </w:p>
    <w:p w14:paraId="5B053533" w14:textId="77777777" w:rsidR="00A155F3" w:rsidRPr="00BB3634" w:rsidRDefault="00A155F3" w:rsidP="000B18E5">
      <w:pPr>
        <w:pStyle w:val="NoSpacing"/>
      </w:pPr>
    </w:p>
    <w:p w14:paraId="126A789D" w14:textId="77777777" w:rsidR="00A155F3" w:rsidRPr="00BB3634" w:rsidRDefault="00A155F3" w:rsidP="000B18E5">
      <w:pPr>
        <w:pStyle w:val="NoSpacing"/>
      </w:pPr>
      <w:r w:rsidRPr="00BB3634">
        <w:t xml:space="preserve">This approach recognizes that while the presumptive ceiling remains the same whether the accused is a youth or an adult, the tolerance for delay differs. While the presumptive ceiling provides a hard backstop that offers certainty, predictability, and simplicity, the test for a stay below the ceiling affords the necessary flexibility to ensure case-specific features — such as the age of the accused — are not lost in the analysis. may be less rare when considered against the smaller body of youth applications for a stay for delay under the ceiling. </w:t>
      </w:r>
    </w:p>
    <w:p w14:paraId="71718D9C" w14:textId="77777777" w:rsidR="00A155F3" w:rsidRPr="00BB3634" w:rsidRDefault="00A155F3" w:rsidP="000B18E5">
      <w:pPr>
        <w:pStyle w:val="NoSpacing"/>
      </w:pPr>
    </w:p>
    <w:p w14:paraId="18BFE033" w14:textId="3B1B6628" w:rsidR="00A155F3" w:rsidRPr="00BB3634" w:rsidRDefault="00A155F3" w:rsidP="000B18E5">
      <w:pPr>
        <w:pStyle w:val="NoSpacing"/>
        <w:rPr>
          <w:rStyle w:val="Hyperlink"/>
        </w:rPr>
      </w:pPr>
      <w:r w:rsidRPr="00BB3634">
        <w:t xml:space="preserve">In most cases, failed attempts at extra-judicial sanctions will be counted as defence delay: </w:t>
      </w:r>
      <w:r w:rsidRPr="00BB3634">
        <w:rPr>
          <w:i/>
        </w:rPr>
        <w:t xml:space="preserve">R v KJM, </w:t>
      </w:r>
      <w:hyperlink r:id="rId367" w:history="1">
        <w:r w:rsidRPr="00BB3634">
          <w:rPr>
            <w:rStyle w:val="Hyperlink"/>
          </w:rPr>
          <w:t>2019 SCC 55</w:t>
        </w:r>
      </w:hyperlink>
    </w:p>
    <w:p w14:paraId="252AE938" w14:textId="7A41D744" w:rsidR="00D62D93" w:rsidRPr="00BB3634" w:rsidRDefault="00D62D93" w:rsidP="000B18E5">
      <w:pPr>
        <w:pStyle w:val="NoSpacing"/>
        <w:rPr>
          <w:rStyle w:val="Hyperlink"/>
        </w:rPr>
      </w:pPr>
    </w:p>
    <w:p w14:paraId="4AEC484F" w14:textId="5C9843E4" w:rsidR="00D62D93" w:rsidRPr="00BB3634" w:rsidRDefault="00D62D93" w:rsidP="00C27569">
      <w:pPr>
        <w:pStyle w:val="Heading2"/>
        <w:numPr>
          <w:ilvl w:val="0"/>
          <w:numId w:val="5"/>
        </w:numPr>
        <w:spacing w:line="276" w:lineRule="auto"/>
        <w:ind w:left="360"/>
        <w:rPr>
          <w:rFonts w:cs="Arial"/>
        </w:rPr>
      </w:pPr>
      <w:bookmarkStart w:id="133" w:name="_Toc94360214"/>
      <w:r w:rsidRPr="00C27569">
        <w:lastRenderedPageBreak/>
        <w:t>Provincial</w:t>
      </w:r>
      <w:r w:rsidRPr="00BB3634">
        <w:rPr>
          <w:rFonts w:cs="Arial"/>
        </w:rPr>
        <w:t xml:space="preserve"> Offences</w:t>
      </w:r>
      <w:bookmarkEnd w:id="133"/>
    </w:p>
    <w:p w14:paraId="2656D5CA" w14:textId="77777777" w:rsidR="00D62D93" w:rsidRPr="00BB3634" w:rsidRDefault="00D62D93" w:rsidP="000B18E5">
      <w:pPr>
        <w:pStyle w:val="NoSpacing"/>
      </w:pPr>
    </w:p>
    <w:p w14:paraId="2B44DB1F" w14:textId="3EDACF65" w:rsidR="00D62D93" w:rsidRPr="00BB3634" w:rsidRDefault="00D62D93" w:rsidP="000B18E5">
      <w:pPr>
        <w:pStyle w:val="NoSpacing"/>
      </w:pPr>
      <w:r w:rsidRPr="00BB3634">
        <w:t>While the </w:t>
      </w:r>
      <w:r w:rsidRPr="00BB3634">
        <w:rPr>
          <w:i/>
        </w:rPr>
        <w:t>POA </w:t>
      </w:r>
      <w:r w:rsidRPr="00BB3634">
        <w:t>is intended to provide a speedy and efficient process for dealing with regulatory offences, the 18-month presumptive ceiling for single-stage provincial court proceedings established in </w:t>
      </w:r>
      <w:r w:rsidRPr="00BB3634">
        <w:rPr>
          <w:i/>
        </w:rPr>
        <w:t>Jordan </w:t>
      </w:r>
      <w:r w:rsidRPr="00BB3634">
        <w:t xml:space="preserve">applies to proceedings under Part 1: </w:t>
      </w:r>
      <w:r w:rsidRPr="00BB3634">
        <w:rPr>
          <w:i/>
        </w:rPr>
        <w:t xml:space="preserve">R v Nguyen, </w:t>
      </w:r>
      <w:hyperlink r:id="rId368" w:history="1">
        <w:r w:rsidRPr="00BB3634">
          <w:rPr>
            <w:rStyle w:val="Hyperlink"/>
          </w:rPr>
          <w:t>2020 ONCA 609</w:t>
        </w:r>
      </w:hyperlink>
      <w:r w:rsidRPr="00BB3634">
        <w:t>, at para 26</w:t>
      </w:r>
    </w:p>
    <w:p w14:paraId="58715B11" w14:textId="77777777" w:rsidR="00D62D93" w:rsidRPr="00BB3634" w:rsidRDefault="00D62D93" w:rsidP="00BB3634">
      <w:pPr>
        <w:spacing w:line="276" w:lineRule="auto"/>
        <w:rPr>
          <w:rFonts w:ascii="Arial" w:hAnsi="Arial" w:cs="Arial"/>
          <w:lang w:val="en-US"/>
        </w:rPr>
      </w:pPr>
    </w:p>
    <w:p w14:paraId="5E873463" w14:textId="77777777" w:rsidR="00A155F3" w:rsidRPr="00BB3634" w:rsidRDefault="00A155F3" w:rsidP="00BB3634">
      <w:pPr>
        <w:spacing w:line="276" w:lineRule="auto"/>
        <w:rPr>
          <w:rFonts w:ascii="Arial" w:hAnsi="Arial" w:cs="Arial"/>
          <w:lang w:val="en-US"/>
        </w:rPr>
      </w:pPr>
    </w:p>
    <w:p w14:paraId="137D4020" w14:textId="5AFA77A6" w:rsidR="00880F05" w:rsidRPr="00BB3634" w:rsidRDefault="00880F05" w:rsidP="00C27569">
      <w:pPr>
        <w:pStyle w:val="Heading2"/>
        <w:numPr>
          <w:ilvl w:val="0"/>
          <w:numId w:val="5"/>
        </w:numPr>
        <w:spacing w:line="276" w:lineRule="auto"/>
        <w:ind w:left="360"/>
        <w:rPr>
          <w:rFonts w:cs="Arial"/>
        </w:rPr>
      </w:pPr>
      <w:bookmarkStart w:id="134" w:name="_Toc94360215"/>
      <w:r w:rsidRPr="00C27569">
        <w:t>Standard</w:t>
      </w:r>
      <w:r w:rsidRPr="00BB3634">
        <w:rPr>
          <w:rFonts w:cs="Arial"/>
        </w:rPr>
        <w:t xml:space="preserve"> of review</w:t>
      </w:r>
      <w:bookmarkEnd w:id="134"/>
    </w:p>
    <w:p w14:paraId="0198D1FD" w14:textId="77777777" w:rsidR="00880F05" w:rsidRPr="00BB3634" w:rsidRDefault="00880F05" w:rsidP="000B18E5">
      <w:pPr>
        <w:pStyle w:val="NoSpacing"/>
        <w:rPr>
          <w:bdr w:val="none" w:sz="0" w:space="0" w:color="auto"/>
          <w:shd w:val="clear" w:color="auto" w:fill="auto"/>
        </w:rPr>
      </w:pPr>
    </w:p>
    <w:p w14:paraId="4FB22DEE" w14:textId="7B9D18BD" w:rsidR="00880F05" w:rsidRPr="00170066" w:rsidRDefault="00880F05" w:rsidP="000B18E5">
      <w:pPr>
        <w:pStyle w:val="NoSpacing"/>
      </w:pPr>
      <w:r w:rsidRPr="00BB3634">
        <w:t>Although underlying findings of fact are reviewed on a standard of palpable and overriding error, the characterization of those periods of delay and the ultimate decision as to whether there has been unreasonable delay are subject to review on a standard of correctness: </w:t>
      </w:r>
      <w:r w:rsidRPr="00BB3634">
        <w:rPr>
          <w:i/>
        </w:rPr>
        <w:t xml:space="preserve">R v Jurkus, </w:t>
      </w:r>
      <w:hyperlink r:id="rId369" w:history="1">
        <w:r w:rsidRPr="00BB3634">
          <w:rPr>
            <w:rStyle w:val="Hyperlink"/>
          </w:rPr>
          <w:t>2018 ONCA 489</w:t>
        </w:r>
      </w:hyperlink>
      <w:r w:rsidRPr="00BB3634">
        <w:t xml:space="preserve"> at para 25</w:t>
      </w:r>
      <w:r w:rsidR="00170066">
        <w:t xml:space="preserve">; </w:t>
      </w:r>
      <w:r w:rsidR="00170066">
        <w:rPr>
          <w:i/>
        </w:rPr>
        <w:t xml:space="preserve">R v Daponte, </w:t>
      </w:r>
      <w:hyperlink r:id="rId370" w:history="1">
        <w:r w:rsidR="00170066" w:rsidRPr="00170066">
          <w:rPr>
            <w:rStyle w:val="Hyperlink"/>
          </w:rPr>
          <w:t>2021 ONCA 14,</w:t>
        </w:r>
      </w:hyperlink>
      <w:r w:rsidR="00170066">
        <w:t xml:space="preserve"> at para 15</w:t>
      </w:r>
    </w:p>
    <w:p w14:paraId="55CD0720" w14:textId="77777777" w:rsidR="00880F05" w:rsidRPr="00BB3634" w:rsidRDefault="00880F05" w:rsidP="00BB3634">
      <w:pPr>
        <w:spacing w:line="276" w:lineRule="auto"/>
        <w:rPr>
          <w:rFonts w:ascii="Arial" w:hAnsi="Arial" w:cs="Arial"/>
        </w:rPr>
      </w:pPr>
    </w:p>
    <w:p w14:paraId="2C3C6FC7" w14:textId="53E49FD8" w:rsidR="00880F05" w:rsidRPr="00BB3634" w:rsidRDefault="00880F05" w:rsidP="000B18E5">
      <w:pPr>
        <w:pStyle w:val="NoSpacing"/>
      </w:pPr>
      <w:r w:rsidRPr="00BB3634">
        <w:t xml:space="preserve">The parties are not stuck on appeal with an erroneous position taken on a s. 11(b) application at trial: </w:t>
      </w:r>
      <w:r w:rsidRPr="00BB3634">
        <w:rPr>
          <w:i/>
        </w:rPr>
        <w:t xml:space="preserve">Jurkus </w:t>
      </w:r>
      <w:r w:rsidRPr="00BB3634">
        <w:t>at para 71</w:t>
      </w:r>
    </w:p>
    <w:p w14:paraId="04D4F83D" w14:textId="7943FCAC" w:rsidR="006733F9" w:rsidRPr="00BB3634" w:rsidRDefault="006733F9" w:rsidP="000B18E5">
      <w:pPr>
        <w:pStyle w:val="NoSpacing"/>
      </w:pPr>
    </w:p>
    <w:p w14:paraId="40413B62" w14:textId="60DC07D2" w:rsidR="006733F9" w:rsidRPr="00BB3634" w:rsidRDefault="006733F9" w:rsidP="000B18E5">
      <w:pPr>
        <w:pStyle w:val="NoSpacing"/>
      </w:pPr>
      <w:r w:rsidRPr="00BB3634">
        <w:t xml:space="preserve">When the actual completion date of the trial is later than what was originally anticipated on the s.11(b) application, appellate courts will consider the actual end date. The reverse is not necessarily the case – that is, when the actual completion date is sooner than what was originally anticipated: </w:t>
      </w:r>
      <w:r w:rsidRPr="00BB3634">
        <w:rPr>
          <w:i/>
        </w:rPr>
        <w:t xml:space="preserve">R v Bulhosen, </w:t>
      </w:r>
      <w:hyperlink r:id="rId371" w:history="1">
        <w:r w:rsidRPr="00BB3634">
          <w:rPr>
            <w:rStyle w:val="Hyperlink"/>
          </w:rPr>
          <w:t>2019 ONCA 600</w:t>
        </w:r>
      </w:hyperlink>
      <w:r w:rsidRPr="00BB3634">
        <w:t>, at para 75</w:t>
      </w:r>
    </w:p>
    <w:p w14:paraId="4711C505" w14:textId="77777777" w:rsidR="00880F05" w:rsidRPr="00BB3634" w:rsidRDefault="00880F05" w:rsidP="000B18E5">
      <w:pPr>
        <w:pStyle w:val="NoSpacing"/>
      </w:pPr>
    </w:p>
    <w:p w14:paraId="4AD8A0E8" w14:textId="43CC6F83" w:rsidR="00D743FB" w:rsidRPr="00BB3634" w:rsidRDefault="00D743FB" w:rsidP="00BB3634">
      <w:pPr>
        <w:pStyle w:val="Heading2"/>
        <w:numPr>
          <w:ilvl w:val="0"/>
          <w:numId w:val="5"/>
        </w:numPr>
        <w:spacing w:line="276" w:lineRule="auto"/>
        <w:ind w:left="360"/>
        <w:rPr>
          <w:rFonts w:cs="Arial"/>
        </w:rPr>
      </w:pPr>
      <w:bookmarkStart w:id="135" w:name="_Toc94360216"/>
      <w:r w:rsidRPr="00BB3634">
        <w:rPr>
          <w:rFonts w:cs="Arial"/>
        </w:rPr>
        <w:t xml:space="preserve">Examples of </w:t>
      </w:r>
      <w:r w:rsidR="00D23AF9" w:rsidRPr="00BB3634">
        <w:rPr>
          <w:rFonts w:cs="Arial"/>
        </w:rPr>
        <w:t>R</w:t>
      </w:r>
      <w:r w:rsidRPr="00BB3634">
        <w:rPr>
          <w:rFonts w:cs="Arial"/>
        </w:rPr>
        <w:t xml:space="preserve">ecent 11(b) </w:t>
      </w:r>
      <w:r w:rsidR="00D23AF9" w:rsidRPr="00BB3634">
        <w:rPr>
          <w:rFonts w:cs="Arial"/>
        </w:rPr>
        <w:t>C</w:t>
      </w:r>
      <w:r w:rsidRPr="00BB3634">
        <w:rPr>
          <w:rFonts w:cs="Arial"/>
        </w:rPr>
        <w:t>ases:</w:t>
      </w:r>
      <w:bookmarkEnd w:id="135"/>
      <w:r w:rsidRPr="00BB3634">
        <w:rPr>
          <w:rFonts w:cs="Arial"/>
        </w:rPr>
        <w:t> </w:t>
      </w:r>
    </w:p>
    <w:p w14:paraId="78E75CA0" w14:textId="72DF7A07" w:rsidR="00D743FB" w:rsidRPr="00BB3634" w:rsidRDefault="000956E6" w:rsidP="00BB3634">
      <w:pPr>
        <w:pStyle w:val="font8"/>
        <w:spacing w:line="276" w:lineRule="auto"/>
        <w:jc w:val="both"/>
        <w:rPr>
          <w:rFonts w:ascii="Arial" w:hAnsi="Arial" w:cs="Arial"/>
          <w:sz w:val="24"/>
          <w:szCs w:val="24"/>
        </w:rPr>
      </w:pPr>
      <w:r w:rsidRPr="00BB3634">
        <w:rPr>
          <w:rFonts w:ascii="Arial" w:hAnsi="Arial" w:cs="Arial"/>
          <w:iCs/>
          <w:sz w:val="24"/>
          <w:szCs w:val="24"/>
        </w:rPr>
        <w:t xml:space="preserve">SCC Trilogy accompanying </w:t>
      </w:r>
      <w:r w:rsidRPr="00BB3634">
        <w:rPr>
          <w:rFonts w:ascii="Arial" w:hAnsi="Arial" w:cs="Arial"/>
          <w:i/>
          <w:iCs/>
          <w:sz w:val="24"/>
          <w:szCs w:val="24"/>
        </w:rPr>
        <w:t>Jordan</w:t>
      </w:r>
      <w:r w:rsidRPr="00BB3634">
        <w:rPr>
          <w:rFonts w:ascii="Arial" w:hAnsi="Arial" w:cs="Arial"/>
          <w:iCs/>
          <w:sz w:val="24"/>
          <w:szCs w:val="24"/>
        </w:rPr>
        <w:t xml:space="preserve">: </w:t>
      </w:r>
      <w:r w:rsidR="00D743FB" w:rsidRPr="00BB3634">
        <w:rPr>
          <w:rFonts w:ascii="Arial" w:hAnsi="Arial" w:cs="Arial"/>
          <w:i/>
          <w:iCs/>
          <w:sz w:val="24"/>
          <w:szCs w:val="24"/>
        </w:rPr>
        <w:t>R v Williamson</w:t>
      </w:r>
      <w:r w:rsidR="00D743FB" w:rsidRPr="00BB3634">
        <w:rPr>
          <w:rFonts w:ascii="Arial" w:hAnsi="Arial" w:cs="Arial"/>
          <w:sz w:val="24"/>
          <w:szCs w:val="24"/>
        </w:rPr>
        <w:t xml:space="preserve">, </w:t>
      </w:r>
      <w:r w:rsidR="00D743FB" w:rsidRPr="00BB3634">
        <w:rPr>
          <w:rFonts w:ascii="Arial" w:hAnsi="Arial" w:cs="Arial"/>
          <w:sz w:val="24"/>
          <w:szCs w:val="24"/>
          <w:u w:val="single"/>
        </w:rPr>
        <w:t>2016 SCC 28</w:t>
      </w:r>
      <w:r w:rsidRPr="00BB3634">
        <w:rPr>
          <w:rFonts w:ascii="Arial" w:hAnsi="Arial" w:cs="Arial"/>
          <w:sz w:val="24"/>
          <w:szCs w:val="24"/>
        </w:rPr>
        <w:t xml:space="preserve">; </w:t>
      </w:r>
      <w:r w:rsidR="00D743FB" w:rsidRPr="00BB3634">
        <w:rPr>
          <w:rFonts w:ascii="Arial" w:hAnsi="Arial" w:cs="Arial"/>
          <w:i/>
          <w:iCs/>
          <w:sz w:val="24"/>
          <w:szCs w:val="24"/>
        </w:rPr>
        <w:t>R v Cody, </w:t>
      </w:r>
      <w:r w:rsidR="00D743FB" w:rsidRPr="00BB3634">
        <w:rPr>
          <w:rFonts w:ascii="Arial" w:hAnsi="Arial" w:cs="Arial"/>
          <w:sz w:val="24"/>
          <w:szCs w:val="24"/>
          <w:u w:val="single"/>
        </w:rPr>
        <w:t>2017 SCC 31</w:t>
      </w:r>
      <w:r w:rsidRPr="00BB3634">
        <w:rPr>
          <w:rFonts w:ascii="Arial" w:hAnsi="Arial" w:cs="Arial"/>
          <w:sz w:val="24"/>
          <w:szCs w:val="24"/>
        </w:rPr>
        <w:t xml:space="preserve">; </w:t>
      </w:r>
      <w:r w:rsidR="00D743FB" w:rsidRPr="00BB3634">
        <w:rPr>
          <w:rFonts w:ascii="Arial" w:hAnsi="Arial" w:cs="Arial"/>
          <w:i/>
          <w:iCs/>
          <w:sz w:val="24"/>
          <w:szCs w:val="24"/>
        </w:rPr>
        <w:t>R v Vassell, </w:t>
      </w:r>
      <w:r w:rsidR="00D743FB" w:rsidRPr="00BB3634">
        <w:rPr>
          <w:rFonts w:ascii="Arial" w:hAnsi="Arial" w:cs="Arial"/>
          <w:sz w:val="24"/>
          <w:szCs w:val="24"/>
          <w:u w:val="single"/>
        </w:rPr>
        <w:t>2016 SCC 26</w:t>
      </w:r>
    </w:p>
    <w:p w14:paraId="61E25B80" w14:textId="3EC09F01" w:rsidR="00BF14D7" w:rsidRPr="00BB3634" w:rsidRDefault="00D743FB" w:rsidP="00BB3634">
      <w:pPr>
        <w:pStyle w:val="font8"/>
        <w:spacing w:line="276" w:lineRule="auto"/>
        <w:jc w:val="both"/>
        <w:rPr>
          <w:rFonts w:ascii="Arial" w:hAnsi="Arial" w:cs="Arial"/>
          <w:sz w:val="24"/>
          <w:szCs w:val="24"/>
          <w:u w:val="single"/>
        </w:rPr>
      </w:pPr>
      <w:r w:rsidRPr="00BB3634">
        <w:rPr>
          <w:rFonts w:ascii="Arial" w:hAnsi="Arial" w:cs="Arial"/>
          <w:sz w:val="24"/>
          <w:szCs w:val="24"/>
        </w:rPr>
        <w:t>Co-accused delay: see </w:t>
      </w:r>
      <w:r w:rsidRPr="00BB3634">
        <w:rPr>
          <w:rFonts w:ascii="Arial" w:hAnsi="Arial" w:cs="Arial"/>
          <w:i/>
          <w:iCs/>
          <w:sz w:val="24"/>
          <w:szCs w:val="24"/>
        </w:rPr>
        <w:t>R v Gopie, </w:t>
      </w:r>
      <w:r w:rsidRPr="00BB3634">
        <w:rPr>
          <w:rFonts w:ascii="Arial" w:hAnsi="Arial" w:cs="Arial"/>
          <w:sz w:val="24"/>
          <w:szCs w:val="24"/>
          <w:u w:val="single"/>
        </w:rPr>
        <w:t>2017 ONCA 728</w:t>
      </w:r>
      <w:r w:rsidRPr="00BB3634">
        <w:rPr>
          <w:rFonts w:ascii="Arial" w:hAnsi="Arial" w:cs="Arial"/>
          <w:sz w:val="24"/>
          <w:szCs w:val="24"/>
        </w:rPr>
        <w:t xml:space="preserve"> at paras 123-142 and 171; see also </w:t>
      </w:r>
      <w:r w:rsidRPr="00BB3634">
        <w:rPr>
          <w:rFonts w:ascii="Arial" w:hAnsi="Arial" w:cs="Arial"/>
          <w:i/>
          <w:iCs/>
          <w:sz w:val="24"/>
          <w:szCs w:val="24"/>
        </w:rPr>
        <w:t>R v Manasseri,</w:t>
      </w:r>
      <w:r w:rsidRPr="00BB3634">
        <w:rPr>
          <w:rFonts w:ascii="Arial" w:hAnsi="Arial" w:cs="Arial"/>
          <w:sz w:val="24"/>
          <w:szCs w:val="24"/>
        </w:rPr>
        <w:t xml:space="preserve"> </w:t>
      </w:r>
      <w:r w:rsidRPr="00BB3634">
        <w:rPr>
          <w:rFonts w:ascii="Arial" w:hAnsi="Arial" w:cs="Arial"/>
          <w:sz w:val="24"/>
          <w:szCs w:val="24"/>
          <w:u w:val="single"/>
        </w:rPr>
        <w:t>2016 ONCA 703</w:t>
      </w:r>
      <w:r w:rsidR="001F74BF" w:rsidRPr="00BB3634">
        <w:rPr>
          <w:rFonts w:ascii="Arial" w:hAnsi="Arial" w:cs="Arial"/>
          <w:sz w:val="24"/>
          <w:szCs w:val="24"/>
          <w:u w:val="single"/>
        </w:rPr>
        <w:t xml:space="preserve">; </w:t>
      </w:r>
      <w:r w:rsidR="001F74BF" w:rsidRPr="00BB3634">
        <w:rPr>
          <w:rFonts w:ascii="Arial" w:hAnsi="Arial" w:cs="Arial"/>
          <w:i/>
          <w:sz w:val="24"/>
          <w:szCs w:val="24"/>
        </w:rPr>
        <w:t xml:space="preserve">R v Jurkus, </w:t>
      </w:r>
      <w:hyperlink r:id="rId372" w:history="1">
        <w:r w:rsidR="001F74BF" w:rsidRPr="00BB3634">
          <w:rPr>
            <w:rStyle w:val="Hyperlink"/>
            <w:rFonts w:ascii="Arial" w:hAnsi="Arial" w:cs="Arial"/>
            <w:sz w:val="24"/>
            <w:szCs w:val="24"/>
          </w:rPr>
          <w:t>2018 ONCA 489</w:t>
        </w:r>
      </w:hyperlink>
      <w:r w:rsidR="001F74BF" w:rsidRPr="00BB3634">
        <w:rPr>
          <w:rFonts w:ascii="Arial" w:hAnsi="Arial" w:cs="Arial"/>
          <w:sz w:val="24"/>
          <w:szCs w:val="24"/>
        </w:rPr>
        <w:t xml:space="preserve"> at para</w:t>
      </w:r>
      <w:r w:rsidR="00344906" w:rsidRPr="00BB3634">
        <w:rPr>
          <w:rFonts w:ascii="Arial" w:hAnsi="Arial" w:cs="Arial"/>
          <w:sz w:val="24"/>
          <w:szCs w:val="24"/>
        </w:rPr>
        <w:t xml:space="preserve">; </w:t>
      </w:r>
      <w:r w:rsidR="00344906" w:rsidRPr="00BB3634">
        <w:rPr>
          <w:rFonts w:ascii="Arial" w:hAnsi="Arial" w:cs="Arial"/>
          <w:i/>
          <w:iCs/>
          <w:sz w:val="24"/>
          <w:szCs w:val="24"/>
        </w:rPr>
        <w:t xml:space="preserve">R v Pauls, </w:t>
      </w:r>
      <w:hyperlink r:id="rId373" w:history="1">
        <w:r w:rsidR="00344906" w:rsidRPr="00BB3634">
          <w:rPr>
            <w:rStyle w:val="Hyperlink"/>
            <w:rFonts w:ascii="Arial" w:hAnsi="Arial" w:cs="Arial"/>
            <w:sz w:val="24"/>
            <w:szCs w:val="24"/>
          </w:rPr>
          <w:t>2020 ONCA 220</w:t>
        </w:r>
      </w:hyperlink>
      <w:r w:rsidR="00344906" w:rsidRPr="00BB3634">
        <w:rPr>
          <w:rFonts w:ascii="Arial" w:hAnsi="Arial" w:cs="Arial"/>
          <w:sz w:val="24"/>
          <w:szCs w:val="24"/>
        </w:rPr>
        <w:t>, at paras 45-54</w:t>
      </w:r>
    </w:p>
    <w:p w14:paraId="6CC62B65" w14:textId="127D95DE" w:rsidR="00C21B3B" w:rsidRPr="00EC0F3F" w:rsidRDefault="00551A4E" w:rsidP="000B18E5">
      <w:pPr>
        <w:pStyle w:val="NoSpacing"/>
        <w:rPr>
          <w:color w:val="000000" w:themeColor="text1"/>
        </w:rPr>
      </w:pPr>
      <w:r w:rsidRPr="00BB3634">
        <w:lastRenderedPageBreak/>
        <w:t xml:space="preserve">Transitional </w:t>
      </w:r>
      <w:r w:rsidR="0008170C" w:rsidRPr="00BB3634">
        <w:t xml:space="preserve">and </w:t>
      </w:r>
      <w:r w:rsidRPr="00BB3634">
        <w:t xml:space="preserve">Exceptional circumstances: </w:t>
      </w:r>
      <w:r w:rsidRPr="00BB3634">
        <w:rPr>
          <w:i/>
        </w:rPr>
        <w:t>Gopie; Baron, R v Coulter</w:t>
      </w:r>
      <w:r w:rsidRPr="00BB3634">
        <w:t>, 2016 ONCA 704; </w:t>
      </w:r>
      <w:r w:rsidRPr="00BB3634">
        <w:rPr>
          <w:i/>
        </w:rPr>
        <w:t>R v Manasseri</w:t>
      </w:r>
      <w:r w:rsidRPr="00BB3634">
        <w:t>, </w:t>
      </w:r>
      <w:r w:rsidRPr="00BB3634">
        <w:rPr>
          <w:lang w:val="en-GB"/>
        </w:rPr>
        <w:t xml:space="preserve">2016 ONCA 703; </w:t>
      </w:r>
      <w:r w:rsidRPr="00BB3634">
        <w:rPr>
          <w:i/>
        </w:rPr>
        <w:t>R v McManus</w:t>
      </w:r>
      <w:r w:rsidRPr="00BB3634">
        <w:t>, 2017 ONCA 188;</w:t>
      </w:r>
      <w:r w:rsidRPr="00BB3634">
        <w:rPr>
          <w:i/>
        </w:rPr>
        <w:t> R v Gordon</w:t>
      </w:r>
      <w:r w:rsidRPr="00BB3634">
        <w:t xml:space="preserve">, 2017 ONCA 436; </w:t>
      </w:r>
      <w:r w:rsidRPr="00BB3634">
        <w:rPr>
          <w:i/>
        </w:rPr>
        <w:t>R. v DC,</w:t>
      </w:r>
      <w:r w:rsidRPr="00BB3634">
        <w:t> 2017 ONCA 483; </w:t>
      </w:r>
      <w:r w:rsidRPr="00BB3634">
        <w:rPr>
          <w:i/>
        </w:rPr>
        <w:t>R v Mallozzi</w:t>
      </w:r>
      <w:r w:rsidRPr="00BB3634">
        <w:t>, 2017 ONCA 644; </w:t>
      </w:r>
      <w:r w:rsidRPr="00BB3634">
        <w:rPr>
          <w:i/>
        </w:rPr>
        <w:t>R v Pyrek</w:t>
      </w:r>
      <w:r w:rsidRPr="00BB3634">
        <w:t>, 2017 ONCA 476; and </w:t>
      </w:r>
      <w:r w:rsidRPr="00BB3634">
        <w:rPr>
          <w:i/>
        </w:rPr>
        <w:t>R v Picard</w:t>
      </w:r>
      <w:r w:rsidRPr="00BB3634">
        <w:t>, 2017 ONCA 692</w:t>
      </w:r>
      <w:r w:rsidR="001F74BF" w:rsidRPr="00BB3634">
        <w:t xml:space="preserve">; </w:t>
      </w:r>
      <w:r w:rsidR="001F74BF" w:rsidRPr="00BB3634">
        <w:rPr>
          <w:i/>
        </w:rPr>
        <w:t xml:space="preserve">R v Jurkus, </w:t>
      </w:r>
      <w:hyperlink r:id="rId374" w:history="1">
        <w:r w:rsidR="001F74BF" w:rsidRPr="00BB3634">
          <w:rPr>
            <w:rStyle w:val="Hyperlink"/>
          </w:rPr>
          <w:t>2018 ONCA 489</w:t>
        </w:r>
      </w:hyperlink>
      <w:r w:rsidR="00A216C7" w:rsidRPr="00BB3634">
        <w:t xml:space="preserve">; </w:t>
      </w:r>
      <w:r w:rsidR="00A216C7" w:rsidRPr="00BB3634">
        <w:rPr>
          <w:i/>
        </w:rPr>
        <w:t xml:space="preserve">R v Lopez-Restrepo, </w:t>
      </w:r>
      <w:hyperlink r:id="rId375" w:anchor="_ftnref5" w:history="1">
        <w:r w:rsidR="00A216C7" w:rsidRPr="00BB3634">
          <w:rPr>
            <w:rStyle w:val="Hyperlink"/>
          </w:rPr>
          <w:t>2018 ONCA 887</w:t>
        </w:r>
      </w:hyperlink>
      <w:r w:rsidR="0008170C" w:rsidRPr="00BB3634">
        <w:t xml:space="preserve">; </w:t>
      </w:r>
      <w:r w:rsidR="0008170C" w:rsidRPr="00BB3634">
        <w:rPr>
          <w:i/>
          <w:lang w:eastAsia="en-CA"/>
        </w:rPr>
        <w:t>R v DA,</w:t>
      </w:r>
      <w:r w:rsidR="0008170C" w:rsidRPr="00BB3634">
        <w:rPr>
          <w:lang w:eastAsia="en-CA"/>
        </w:rPr>
        <w:t xml:space="preserve"> </w:t>
      </w:r>
      <w:hyperlink r:id="rId376" w:history="1">
        <w:r w:rsidR="0008170C" w:rsidRPr="00BB3634">
          <w:rPr>
            <w:rStyle w:val="Hyperlink"/>
            <w:lang w:eastAsia="en-CA"/>
          </w:rPr>
          <w:t>2018 ONCA 96</w:t>
        </w:r>
      </w:hyperlink>
      <w:r w:rsidR="0008170C" w:rsidRPr="00BB3634">
        <w:rPr>
          <w:rStyle w:val="Hyperlink"/>
          <w:lang w:eastAsia="en-CA"/>
        </w:rPr>
        <w:t xml:space="preserve">; </w:t>
      </w:r>
      <w:r w:rsidR="0008170C" w:rsidRPr="00BB3634">
        <w:rPr>
          <w:i/>
        </w:rPr>
        <w:t>R v Saikaley, </w:t>
      </w:r>
      <w:hyperlink r:id="rId377" w:history="1">
        <w:r w:rsidR="0008170C" w:rsidRPr="00BB3634">
          <w:rPr>
            <w:rStyle w:val="Hyperlink"/>
          </w:rPr>
          <w:t>2017 ONCA 374</w:t>
        </w:r>
      </w:hyperlink>
      <w:r w:rsidR="0008170C" w:rsidRPr="00BB3634">
        <w:rPr>
          <w:u w:val="single"/>
        </w:rPr>
        <w:t xml:space="preserve">; </w:t>
      </w:r>
      <w:r w:rsidR="0008170C" w:rsidRPr="00BB3634">
        <w:rPr>
          <w:i/>
        </w:rPr>
        <w:t xml:space="preserve">R v Baron, </w:t>
      </w:r>
      <w:hyperlink r:id="rId378" w:history="1">
        <w:r w:rsidR="0008170C" w:rsidRPr="00BB3634">
          <w:rPr>
            <w:rStyle w:val="Hyperlink"/>
            <w:u w:val="none"/>
          </w:rPr>
          <w:t>2017 ONCA 772</w:t>
        </w:r>
      </w:hyperlink>
      <w:r w:rsidR="00CE7F9E" w:rsidRPr="00BB3634">
        <w:rPr>
          <w:rStyle w:val="Hyperlink"/>
          <w:u w:val="none"/>
        </w:rPr>
        <w:t xml:space="preserve">; </w:t>
      </w:r>
      <w:r w:rsidR="00CE7F9E" w:rsidRPr="00BB3634">
        <w:rPr>
          <w:i/>
        </w:rPr>
        <w:t>R v Mallozzi</w:t>
      </w:r>
      <w:r w:rsidR="00CE7F9E" w:rsidRPr="00BB3634">
        <w:t xml:space="preserve">, </w:t>
      </w:r>
      <w:r w:rsidR="00CE7F9E" w:rsidRPr="00BB3634">
        <w:rPr>
          <w:u w:val="single"/>
        </w:rPr>
        <w:t>2017 ONCA 644;</w:t>
      </w:r>
      <w:r w:rsidR="00CE7F9E" w:rsidRPr="00BB3634">
        <w:t xml:space="preserve"> </w:t>
      </w:r>
      <w:hyperlink r:id="rId379" w:history="1">
        <w:r w:rsidR="00CE7F9E" w:rsidRPr="00BB3634">
          <w:rPr>
            <w:rStyle w:val="Hyperlink"/>
          </w:rPr>
          <w:t>2018 ONCA 312</w:t>
        </w:r>
      </w:hyperlink>
      <w:r w:rsidR="00982807" w:rsidRPr="00BB3634">
        <w:rPr>
          <w:rStyle w:val="Hyperlink"/>
        </w:rPr>
        <w:t xml:space="preserve">; </w:t>
      </w:r>
      <w:r w:rsidR="00982807" w:rsidRPr="00BB3634">
        <w:rPr>
          <w:rStyle w:val="Hyperlink"/>
          <w:i/>
          <w:color w:val="auto"/>
          <w:u w:val="none"/>
        </w:rPr>
        <w:t xml:space="preserve">R v JCP, </w:t>
      </w:r>
      <w:hyperlink r:id="rId380" w:history="1">
        <w:r w:rsidR="00982807" w:rsidRPr="00BB3634">
          <w:rPr>
            <w:rStyle w:val="Hyperlink"/>
          </w:rPr>
          <w:t>2018 ONCA 986</w:t>
        </w:r>
      </w:hyperlink>
      <w:r w:rsidR="00EC0F3F">
        <w:rPr>
          <w:rStyle w:val="Hyperlink"/>
        </w:rPr>
        <w:t xml:space="preserve">; </w:t>
      </w:r>
      <w:r w:rsidR="00EC0F3F" w:rsidRPr="00EC0F3F">
        <w:rPr>
          <w:rStyle w:val="Hyperlink"/>
          <w:i/>
          <w:iCs w:val="0"/>
          <w:color w:val="000000" w:themeColor="text1"/>
          <w:u w:val="none"/>
        </w:rPr>
        <w:t xml:space="preserve">R v Powell, </w:t>
      </w:r>
      <w:hyperlink r:id="rId381" w:history="1">
        <w:r w:rsidR="00EC0F3F" w:rsidRPr="00EC0F3F">
          <w:rPr>
            <w:rStyle w:val="Hyperlink"/>
          </w:rPr>
          <w:t>2020 ONCA 743,</w:t>
        </w:r>
      </w:hyperlink>
      <w:r w:rsidR="00EC0F3F" w:rsidRPr="00EC0F3F">
        <w:rPr>
          <w:rStyle w:val="Hyperlink"/>
          <w:color w:val="000000" w:themeColor="text1"/>
          <w:u w:val="none"/>
        </w:rPr>
        <w:t xml:space="preserve"> at paras 10-11</w:t>
      </w:r>
    </w:p>
    <w:p w14:paraId="5078B4B9" w14:textId="1FFB57E9" w:rsidR="00A216C7" w:rsidRPr="00BB3634" w:rsidRDefault="00A216C7" w:rsidP="00BB3634">
      <w:pPr>
        <w:pStyle w:val="font8"/>
        <w:spacing w:line="276" w:lineRule="auto"/>
        <w:jc w:val="both"/>
        <w:rPr>
          <w:rFonts w:ascii="Arial" w:hAnsi="Arial" w:cs="Arial"/>
          <w:sz w:val="24"/>
          <w:szCs w:val="24"/>
        </w:rPr>
      </w:pPr>
      <w:r w:rsidRPr="00BB3634">
        <w:rPr>
          <w:rFonts w:ascii="Arial" w:hAnsi="Arial" w:cs="Arial"/>
          <w:sz w:val="24"/>
          <w:szCs w:val="24"/>
        </w:rPr>
        <w:t xml:space="preserve">Complexity: </w:t>
      </w:r>
      <w:r w:rsidRPr="00BB3634">
        <w:rPr>
          <w:rFonts w:ascii="Arial" w:hAnsi="Arial" w:cs="Arial"/>
          <w:i/>
          <w:sz w:val="24"/>
          <w:szCs w:val="24"/>
        </w:rPr>
        <w:t xml:space="preserve">R v Lopez-Restrepo, </w:t>
      </w:r>
      <w:hyperlink r:id="rId382" w:anchor="_ftnref5" w:history="1">
        <w:r w:rsidRPr="00BB3634">
          <w:rPr>
            <w:rStyle w:val="Hyperlink"/>
            <w:rFonts w:ascii="Arial" w:hAnsi="Arial" w:cs="Arial"/>
            <w:sz w:val="24"/>
            <w:szCs w:val="24"/>
          </w:rPr>
          <w:t>2018 ONCA 887</w:t>
        </w:r>
      </w:hyperlink>
      <w:r w:rsidR="001163FF" w:rsidRPr="00BB3634">
        <w:rPr>
          <w:rFonts w:ascii="Arial" w:hAnsi="Arial" w:cs="Arial"/>
          <w:sz w:val="24"/>
          <w:szCs w:val="24"/>
        </w:rPr>
        <w:t xml:space="preserve">; </w:t>
      </w:r>
      <w:r w:rsidR="001163FF" w:rsidRPr="00BB3634">
        <w:rPr>
          <w:rFonts w:ascii="Arial" w:hAnsi="Arial" w:cs="Arial"/>
          <w:i/>
          <w:iCs/>
          <w:sz w:val="24"/>
          <w:szCs w:val="24"/>
        </w:rPr>
        <w:t xml:space="preserve">R v CG, </w:t>
      </w:r>
      <w:hyperlink r:id="rId383" w:history="1">
        <w:r w:rsidR="001163FF" w:rsidRPr="00BB3634">
          <w:rPr>
            <w:rStyle w:val="Hyperlink"/>
            <w:rFonts w:ascii="Arial" w:hAnsi="Arial" w:cs="Arial"/>
            <w:sz w:val="24"/>
            <w:szCs w:val="24"/>
          </w:rPr>
          <w:t>2020 ONCA 357</w:t>
        </w:r>
      </w:hyperlink>
    </w:p>
    <w:p w14:paraId="757D8F32" w14:textId="7F59709B" w:rsidR="006E53E3" w:rsidRPr="00BB3634" w:rsidRDefault="006E53E3" w:rsidP="000B18E5">
      <w:pPr>
        <w:pStyle w:val="NoSpacing"/>
      </w:pPr>
      <w:r w:rsidRPr="00BB3634">
        <w:t xml:space="preserve">Crown preferring indictment: </w:t>
      </w:r>
      <w:r w:rsidRPr="00BB3634">
        <w:rPr>
          <w:i/>
        </w:rPr>
        <w:t xml:space="preserve">R v Bulhosen, </w:t>
      </w:r>
      <w:hyperlink r:id="rId384" w:history="1">
        <w:r w:rsidRPr="00BB3634">
          <w:rPr>
            <w:rStyle w:val="Hyperlink"/>
          </w:rPr>
          <w:t>2019 ONCA 600</w:t>
        </w:r>
      </w:hyperlink>
    </w:p>
    <w:p w14:paraId="6C6ED476" w14:textId="77777777" w:rsidR="005956AC" w:rsidRPr="00BB3634" w:rsidRDefault="005956AC" w:rsidP="00BB3634">
      <w:pPr>
        <w:pStyle w:val="font8"/>
        <w:spacing w:line="276" w:lineRule="auto"/>
        <w:jc w:val="both"/>
        <w:rPr>
          <w:rFonts w:ascii="Arial" w:hAnsi="Arial" w:cs="Arial"/>
          <w:color w:val="000000"/>
          <w:sz w:val="24"/>
          <w:szCs w:val="24"/>
        </w:rPr>
      </w:pPr>
    </w:p>
    <w:p w14:paraId="7B1DEF19" w14:textId="2193D0BE" w:rsidR="004B7CCB" w:rsidRPr="00BB3634" w:rsidRDefault="00FE4882" w:rsidP="00BB3634">
      <w:pPr>
        <w:pStyle w:val="Heading1"/>
        <w:spacing w:line="276" w:lineRule="auto"/>
        <w:rPr>
          <w:sz w:val="24"/>
          <w:szCs w:val="24"/>
        </w:rPr>
      </w:pPr>
      <w:bookmarkStart w:id="136" w:name="_Toc94360217"/>
      <w:r w:rsidRPr="00BB3634">
        <w:rPr>
          <w:sz w:val="24"/>
          <w:szCs w:val="24"/>
        </w:rPr>
        <w:t>SECTION 11(D)</w:t>
      </w:r>
      <w:bookmarkEnd w:id="136"/>
    </w:p>
    <w:p w14:paraId="391052F4" w14:textId="77777777" w:rsidR="004B7CCB" w:rsidRPr="00BB3634" w:rsidRDefault="004B7CCB" w:rsidP="000B18E5">
      <w:pPr>
        <w:pStyle w:val="NoSpacing"/>
      </w:pPr>
    </w:p>
    <w:p w14:paraId="4EA4A882" w14:textId="78BD5530" w:rsidR="00972016" w:rsidRPr="00BB3634" w:rsidRDefault="00972016" w:rsidP="000B18E5">
      <w:pPr>
        <w:pStyle w:val="NoSpacing"/>
      </w:pPr>
      <w:r w:rsidRPr="00BB3634">
        <w:t xml:space="preserve">Any person accused of a crime is entitled to a fair and impartial trial.  Trial judges are charged with ensuring that, to the degree possible, such a trial will take place.  A critical component of ensuring a fair and impartial trial revolves around the conduct of the trial judge.  As is often said, “justice should not only be done, but should manifestly and undoubtedly be seen to be done.” In that same spirit, a trial judge must be conscious of not only being impartial, but being seen to be impartial: </w:t>
      </w:r>
      <w:r w:rsidRPr="00BB3634">
        <w:rPr>
          <w:i/>
        </w:rPr>
        <w:t xml:space="preserve">R v Hungwe, </w:t>
      </w:r>
      <w:hyperlink r:id="rId385" w:history="1">
        <w:r w:rsidRPr="00BB3634">
          <w:rPr>
            <w:rStyle w:val="Hyperlink"/>
          </w:rPr>
          <w:t>2018 ONCA 456</w:t>
        </w:r>
      </w:hyperlink>
      <w:r w:rsidRPr="00BB3634">
        <w:t xml:space="preserve"> at para 39</w:t>
      </w:r>
    </w:p>
    <w:p w14:paraId="1DE16529" w14:textId="77777777" w:rsidR="00972016" w:rsidRPr="00BB3634" w:rsidRDefault="00972016" w:rsidP="000B18E5">
      <w:pPr>
        <w:pStyle w:val="NoSpacing"/>
      </w:pPr>
    </w:p>
    <w:p w14:paraId="127A00BC" w14:textId="0A0CD87F" w:rsidR="00972016" w:rsidRPr="00BB3634" w:rsidRDefault="00972016" w:rsidP="000B18E5">
      <w:pPr>
        <w:pStyle w:val="NoSpacing"/>
      </w:pPr>
      <w:r w:rsidRPr="00BB3634">
        <w:t>For more on reasonable apprehension of bias, see General Topics on Law: Bias</w:t>
      </w:r>
    </w:p>
    <w:p w14:paraId="6AF298E1" w14:textId="77777777" w:rsidR="00972016" w:rsidRPr="00BB3634" w:rsidRDefault="00972016" w:rsidP="000B18E5">
      <w:pPr>
        <w:pStyle w:val="NoSpacing"/>
      </w:pPr>
    </w:p>
    <w:p w14:paraId="111B5307" w14:textId="4A8D73F3" w:rsidR="004B7CCB" w:rsidRPr="00BB3634" w:rsidRDefault="004B7CCB" w:rsidP="000B18E5">
      <w:pPr>
        <w:pStyle w:val="NoSpacing"/>
      </w:pPr>
      <w:r w:rsidRPr="00BB3634">
        <w:t>The right of an accused person to choose his or her counsel does not require the state to pay for an accused person’s chosen counsel, even where the accused person wins a Rowbotham order. The exception is where a) counsel of choice is necessary to a fair trial; or b) where accused shows he cannot find competent counsel under Legal Aid rates &amp; conditions: R v. Hafizi, 2015 ONCA 534</w:t>
      </w:r>
    </w:p>
    <w:p w14:paraId="7EE0D23E" w14:textId="77777777" w:rsidR="00BC22DB" w:rsidRPr="00BB3634" w:rsidRDefault="00BC22DB" w:rsidP="000B18E5">
      <w:pPr>
        <w:pStyle w:val="NoSpacing"/>
      </w:pPr>
    </w:p>
    <w:p w14:paraId="2F19C589" w14:textId="184DD360" w:rsidR="00BC22DB" w:rsidRPr="00BB3634" w:rsidRDefault="00BC22DB" w:rsidP="000B18E5">
      <w:pPr>
        <w:pStyle w:val="NoSpacing"/>
      </w:pPr>
      <w:r w:rsidRPr="00BB3634">
        <w:t>A trial judge should grant an adjournment for an accused to retain counsel if it is necessary for a fair trial or the appearance of a fair trial. However, as important as the right to counsel is, it is not an unlimited right.  It must be balanced against the timely disposition of cases. There comes a point at which the court is entitled to refuse any further adjournments for the purpose of retaining counsel.</w:t>
      </w:r>
    </w:p>
    <w:p w14:paraId="47E995BF" w14:textId="77777777" w:rsidR="00BC22DB" w:rsidRPr="00BB3634" w:rsidRDefault="00BC22DB" w:rsidP="000B18E5">
      <w:pPr>
        <w:pStyle w:val="NoSpacing"/>
      </w:pPr>
    </w:p>
    <w:p w14:paraId="01E52769" w14:textId="3F108466" w:rsidR="004B7CCB" w:rsidRDefault="00BC22DB" w:rsidP="000B18E5">
      <w:pPr>
        <w:pStyle w:val="NoSpacing"/>
      </w:pPr>
      <w:r w:rsidRPr="00BB3634">
        <w:lastRenderedPageBreak/>
        <w:t>On appeal, the appellate court should only interfere with a trial judge's refusal to grant an adjournment if it deprives an accused of a fair trial or the appearance of a fair trial: </w:t>
      </w:r>
      <w:r w:rsidRPr="00BB3634">
        <w:rPr>
          <w:i/>
        </w:rPr>
        <w:t xml:space="preserve">R v Patel, </w:t>
      </w:r>
      <w:hyperlink r:id="rId386" w:history="1">
        <w:r w:rsidRPr="00BB3634">
          <w:rPr>
            <w:rStyle w:val="Hyperlink"/>
          </w:rPr>
          <w:t>2018 ONCA 541</w:t>
        </w:r>
      </w:hyperlink>
      <w:r w:rsidRPr="00BB3634">
        <w:t xml:space="preserve"> at para 3</w:t>
      </w:r>
    </w:p>
    <w:p w14:paraId="77B4170A" w14:textId="7FEC367A" w:rsidR="00E863D8" w:rsidRDefault="00E863D8" w:rsidP="000B18E5">
      <w:pPr>
        <w:pStyle w:val="NoSpacing"/>
      </w:pPr>
    </w:p>
    <w:p w14:paraId="69CB72C1" w14:textId="2EB271BF" w:rsidR="00E863D8" w:rsidRPr="00E863D8" w:rsidRDefault="00E863D8" w:rsidP="00E863D8">
      <w:pPr>
        <w:pStyle w:val="NoSpacing"/>
      </w:pPr>
      <w:r>
        <w:t xml:space="preserve">In </w:t>
      </w:r>
      <w:r>
        <w:rPr>
          <w:i/>
          <w:iCs w:val="0"/>
        </w:rPr>
        <w:t xml:space="preserve">Chouhan, </w:t>
      </w:r>
      <w:r>
        <w:t>the SCC held that, in determining whether </w:t>
      </w:r>
      <w:hyperlink r:id="rId387" w:anchor="!fragment/sec11" w:tgtFrame="_blank" w:history="1">
        <w:r>
          <w:rPr>
            <w:rStyle w:val="Hyperlink"/>
            <w:color w:val="660000"/>
          </w:rPr>
          <w:t>s. 11</w:t>
        </w:r>
      </w:hyperlink>
      <w:r>
        <w:t xml:space="preserve">(d) is breached, the question is not whether a new process chosen by Parliament is less advantageous to the accused, but rather whether a reasonable person, fully informed of the circumstances, would consider that the new jury selection process gives rise to a reasonable apprehension of bias so as to deprive accused persons of a fair trial before an independent and impartial tribunal: </w:t>
      </w:r>
      <w:hyperlink r:id="rId388" w:history="1">
        <w:r w:rsidRPr="00E863D8">
          <w:rPr>
            <w:rStyle w:val="Hyperlink"/>
          </w:rPr>
          <w:t>2021 SCC 26</w:t>
        </w:r>
      </w:hyperlink>
    </w:p>
    <w:p w14:paraId="4FEB2AB9" w14:textId="77777777" w:rsidR="00E863D8" w:rsidRPr="00E863D8" w:rsidRDefault="00E863D8" w:rsidP="000B18E5">
      <w:pPr>
        <w:pStyle w:val="NoSpacing"/>
      </w:pPr>
    </w:p>
    <w:p w14:paraId="151A07AB" w14:textId="2EB14D52" w:rsidR="00D743FB" w:rsidRPr="00BB3634" w:rsidRDefault="00FE4882" w:rsidP="00BB3634">
      <w:pPr>
        <w:pStyle w:val="Heading1"/>
        <w:spacing w:line="276" w:lineRule="auto"/>
        <w:rPr>
          <w:sz w:val="24"/>
          <w:szCs w:val="24"/>
        </w:rPr>
      </w:pPr>
      <w:bookmarkStart w:id="137" w:name="_Toc94360218"/>
      <w:r w:rsidRPr="00BB3634">
        <w:rPr>
          <w:sz w:val="24"/>
          <w:szCs w:val="24"/>
        </w:rPr>
        <w:t>SECTION 11(E)</w:t>
      </w:r>
      <w:bookmarkEnd w:id="137"/>
    </w:p>
    <w:p w14:paraId="4DFE2DF9" w14:textId="459A47B7" w:rsidR="005C0227" w:rsidRPr="00BB3634" w:rsidRDefault="00D23AF9" w:rsidP="00BB3634">
      <w:pPr>
        <w:pStyle w:val="Heading2"/>
        <w:numPr>
          <w:ilvl w:val="0"/>
          <w:numId w:val="4"/>
        </w:numPr>
        <w:spacing w:line="276" w:lineRule="auto"/>
        <w:ind w:left="360"/>
        <w:rPr>
          <w:rFonts w:cs="Arial"/>
        </w:rPr>
      </w:pPr>
      <w:bookmarkStart w:id="138" w:name="_Toc94360219"/>
      <w:r w:rsidRPr="00BB3634">
        <w:rPr>
          <w:rFonts w:cs="Arial"/>
        </w:rPr>
        <w:t>T</w:t>
      </w:r>
      <w:r w:rsidR="005C0227" w:rsidRPr="00BB3634">
        <w:rPr>
          <w:rFonts w:cs="Arial"/>
        </w:rPr>
        <w:t xml:space="preserve">hree </w:t>
      </w:r>
      <w:r w:rsidRPr="00BB3634">
        <w:rPr>
          <w:rFonts w:cs="Arial"/>
        </w:rPr>
        <w:t>C</w:t>
      </w:r>
      <w:r w:rsidR="005C0227" w:rsidRPr="00BB3634">
        <w:rPr>
          <w:rFonts w:cs="Arial"/>
        </w:rPr>
        <w:t xml:space="preserve">lear </w:t>
      </w:r>
      <w:r w:rsidRPr="00BB3634">
        <w:rPr>
          <w:rFonts w:cs="Arial"/>
        </w:rPr>
        <w:t>D</w:t>
      </w:r>
      <w:r w:rsidR="005C0227" w:rsidRPr="00BB3634">
        <w:rPr>
          <w:rFonts w:cs="Arial"/>
        </w:rPr>
        <w:t xml:space="preserve">ays’ </w:t>
      </w:r>
      <w:r w:rsidRPr="00BB3634">
        <w:rPr>
          <w:rFonts w:cs="Arial"/>
        </w:rPr>
        <w:t>A</w:t>
      </w:r>
      <w:r w:rsidR="005C0227" w:rsidRPr="00BB3634">
        <w:rPr>
          <w:rFonts w:cs="Arial"/>
        </w:rPr>
        <w:t>djournment: s. 516(1)</w:t>
      </w:r>
      <w:bookmarkEnd w:id="138"/>
    </w:p>
    <w:p w14:paraId="79C3DF94" w14:textId="31BE3C07" w:rsidR="005C0227" w:rsidRPr="00BB3634" w:rsidRDefault="00E32F34" w:rsidP="000B18E5">
      <w:pPr>
        <w:pStyle w:val="NoSpacing"/>
      </w:pPr>
      <w:hyperlink r:id="rId389" w:anchor="sec516subsec1_smooth" w:history="1">
        <w:r w:rsidR="005C0227" w:rsidRPr="00BB3634">
          <w:rPr>
            <w:rStyle w:val="Hyperlink"/>
            <w:color w:val="027ABB"/>
            <w:u w:val="none"/>
          </w:rPr>
          <w:t>Section 516(1)</w:t>
        </w:r>
      </w:hyperlink>
      <w:r w:rsidR="005C0227" w:rsidRPr="00BB3634">
        <w:t> of the </w:t>
      </w:r>
      <w:hyperlink r:id="rId390" w:history="1">
        <w:r w:rsidR="005C0227" w:rsidRPr="00BB3634">
          <w:rPr>
            <w:rStyle w:val="Hyperlink"/>
            <w:i/>
            <w:iCs w:val="0"/>
            <w:color w:val="027ABB"/>
            <w:u w:val="none"/>
          </w:rPr>
          <w:t>Criminal Code</w:t>
        </w:r>
      </w:hyperlink>
      <w:r w:rsidR="005C0227" w:rsidRPr="00BB3634">
        <w:t xml:space="preserve"> permits a justice, before or at any time during the course of a judicial interim release hearing, on application by the prosecutor or accused, to adjourn the proceedings and remand the accused in custody in prison. Where the adjournment exceeds three clear days, the consent of the accused is required. It necessarily follows that an adjournment that is not more than three clear days does not require any consent on the part of the accused: </w:t>
      </w:r>
      <w:r w:rsidR="005C0227" w:rsidRPr="00BB3634">
        <w:rPr>
          <w:i/>
        </w:rPr>
        <w:t xml:space="preserve">R v Donnelly, </w:t>
      </w:r>
      <w:hyperlink r:id="rId391" w:history="1">
        <w:r w:rsidR="005C0227" w:rsidRPr="00BB3634">
          <w:rPr>
            <w:rStyle w:val="Hyperlink"/>
          </w:rPr>
          <w:t>2016 ONCA 988</w:t>
        </w:r>
      </w:hyperlink>
      <w:r w:rsidR="005C0227" w:rsidRPr="00BB3634">
        <w:t xml:space="preserve"> at para 76</w:t>
      </w:r>
    </w:p>
    <w:p w14:paraId="159EBB7F" w14:textId="77777777" w:rsidR="005C0227" w:rsidRPr="00BB3634" w:rsidRDefault="005C0227" w:rsidP="00BB3634">
      <w:pPr>
        <w:spacing w:line="276" w:lineRule="auto"/>
        <w:rPr>
          <w:rFonts w:ascii="Arial" w:hAnsi="Arial" w:cs="Arial"/>
        </w:rPr>
      </w:pPr>
    </w:p>
    <w:p w14:paraId="27976E6C" w14:textId="1C03B409" w:rsidR="00D743FB" w:rsidRPr="00BB3634" w:rsidRDefault="00D743FB" w:rsidP="00BB3634">
      <w:pPr>
        <w:pStyle w:val="Heading2"/>
        <w:numPr>
          <w:ilvl w:val="0"/>
          <w:numId w:val="4"/>
        </w:numPr>
        <w:spacing w:line="276" w:lineRule="auto"/>
        <w:ind w:left="360"/>
        <w:rPr>
          <w:rFonts w:cs="Arial"/>
        </w:rPr>
      </w:pPr>
      <w:bookmarkStart w:id="139" w:name="_Toc94360220"/>
      <w:r w:rsidRPr="00BB3634">
        <w:rPr>
          <w:rFonts w:cs="Arial"/>
        </w:rPr>
        <w:t>Remedy for Violation</w:t>
      </w:r>
      <w:bookmarkEnd w:id="139"/>
    </w:p>
    <w:p w14:paraId="5A526330" w14:textId="7E053035" w:rsidR="00721C1C" w:rsidRPr="00BB3634" w:rsidRDefault="00D743FB" w:rsidP="000B18E5">
      <w:pPr>
        <w:pStyle w:val="NoSpacing"/>
      </w:pPr>
      <w:r w:rsidRPr="00BB3634">
        <w:t>In </w:t>
      </w:r>
      <w:r w:rsidRPr="00BB3634">
        <w:rPr>
          <w:i/>
        </w:rPr>
        <w:t>Kift, </w:t>
      </w:r>
      <w:r w:rsidRPr="00BB3634">
        <w:t>the Ontario Court of Appeal upheld a trial judge's decision to remedy a 15-day detention without bail through the exclusion of evidence obtained from the appellant during his detention and the remission of his sentence - rather than by granting a stay of proceedings: </w:t>
      </w:r>
      <w:r w:rsidRPr="00BB3634">
        <w:rPr>
          <w:i/>
        </w:rPr>
        <w:t>R v Kift, </w:t>
      </w:r>
      <w:hyperlink r:id="rId392" w:tgtFrame="_blank" w:history="1">
        <w:r w:rsidRPr="00BB3634">
          <w:rPr>
            <w:rStyle w:val="Hyperlink"/>
            <w:color w:val="auto"/>
          </w:rPr>
          <w:t>2016 ONCA 374</w:t>
        </w:r>
      </w:hyperlink>
      <w:r w:rsidRPr="00BB3634">
        <w:t> at paras 5-8</w:t>
      </w:r>
    </w:p>
    <w:p w14:paraId="28175F23" w14:textId="528BD6BB" w:rsidR="00C21B3B" w:rsidRPr="00BB3634" w:rsidRDefault="00C21B3B" w:rsidP="000B18E5">
      <w:pPr>
        <w:pStyle w:val="NoSpacing"/>
      </w:pPr>
    </w:p>
    <w:p w14:paraId="59B9B85F" w14:textId="77777777" w:rsidR="00C968B9" w:rsidRPr="00BB3634" w:rsidRDefault="00C968B9" w:rsidP="000B18E5">
      <w:pPr>
        <w:pStyle w:val="NoSpacing"/>
      </w:pPr>
    </w:p>
    <w:p w14:paraId="45D2B254" w14:textId="77777777" w:rsidR="00771606" w:rsidRPr="00BB3634" w:rsidRDefault="00771606" w:rsidP="000B18E5">
      <w:pPr>
        <w:pStyle w:val="NoSpacing"/>
      </w:pPr>
    </w:p>
    <w:p w14:paraId="3F10078C" w14:textId="6FE6A394" w:rsidR="00771606" w:rsidRPr="00BB3634" w:rsidRDefault="00FE4882" w:rsidP="00BB3634">
      <w:pPr>
        <w:pStyle w:val="Heading1"/>
        <w:spacing w:line="276" w:lineRule="auto"/>
        <w:rPr>
          <w:sz w:val="24"/>
          <w:szCs w:val="24"/>
        </w:rPr>
      </w:pPr>
      <w:bookmarkStart w:id="140" w:name="_Toc94360221"/>
      <w:r w:rsidRPr="00BB3634">
        <w:rPr>
          <w:sz w:val="24"/>
          <w:szCs w:val="24"/>
        </w:rPr>
        <w:lastRenderedPageBreak/>
        <w:t>SECTION 11(F)</w:t>
      </w:r>
      <w:bookmarkEnd w:id="140"/>
    </w:p>
    <w:p w14:paraId="64FE6730" w14:textId="77777777" w:rsidR="00771606" w:rsidRPr="00BB3634" w:rsidRDefault="00771606" w:rsidP="00BB3634">
      <w:pPr>
        <w:spacing w:line="276" w:lineRule="auto"/>
        <w:rPr>
          <w:rFonts w:ascii="Arial" w:hAnsi="Arial" w:cs="Arial"/>
        </w:rPr>
      </w:pPr>
    </w:p>
    <w:p w14:paraId="2527B248" w14:textId="06E77541" w:rsidR="007A7EFD" w:rsidRPr="007A7EFD" w:rsidRDefault="007A7EFD" w:rsidP="007A7EFD">
      <w:pPr>
        <w:pStyle w:val="NoSpacing"/>
      </w:pPr>
      <w:r w:rsidRPr="007A7EFD">
        <w:t>The purpose of </w:t>
      </w:r>
      <w:hyperlink r:id="rId393" w:anchor="!fragment/sec11" w:tgtFrame="_blank" w:history="1">
        <w:r w:rsidRPr="007A7EFD">
          <w:rPr>
            <w:rStyle w:val="Hyperlink"/>
            <w:color w:val="000000"/>
            <w:u w:val="none"/>
          </w:rPr>
          <w:t>s. 11</w:t>
        </w:r>
      </w:hyperlink>
      <w:r w:rsidRPr="007A7EFD">
        <w:t>(f) is to guarantee an underlying benefit that comes from jury trials. The benefit of trial by jury is formed by four elements, which are the four advantages of jury trials in comparison to judge</w:t>
      </w:r>
      <w:r w:rsidRPr="007A7EFD">
        <w:noBreakHyphen/>
        <w:t>alone trials. First, the jury is an excellent fact finder because of the cumulative abilities of its members and the diversity of their experiences. Second, a jury represents the conscience of the community: it is best placed to determine whether applying the law would be inequitable or would accord with society’s values. Third, the jury is a bulwark of individual liberty, protecting against oppressive laws or oppressive enforcement of the law. Fourth, the jury serves the broader social interests of public education and legitimization of the justice system</w:t>
      </w:r>
      <w:r>
        <w:t xml:space="preserve">: </w:t>
      </w:r>
      <w:r>
        <w:rPr>
          <w:i/>
          <w:iCs w:val="0"/>
        </w:rPr>
        <w:t xml:space="preserve">R v Chouhan, </w:t>
      </w:r>
      <w:r>
        <w:t xml:space="preserve">2021 SCC 26, dissent of Cote J. at paras </w:t>
      </w:r>
      <w:r w:rsidR="003F1328">
        <w:t>249-253</w:t>
      </w:r>
    </w:p>
    <w:p w14:paraId="1F7CC1F3" w14:textId="77777777" w:rsidR="007A7EFD" w:rsidRDefault="007A7EFD" w:rsidP="00E863D8">
      <w:pPr>
        <w:pStyle w:val="NoSpacing"/>
      </w:pPr>
    </w:p>
    <w:p w14:paraId="4FD7DE57" w14:textId="7D5E234A" w:rsidR="007A7EFD" w:rsidRDefault="00E863D8" w:rsidP="00E863D8">
      <w:pPr>
        <w:pStyle w:val="NoSpacing"/>
      </w:pPr>
      <w:r>
        <w:t xml:space="preserve">In </w:t>
      </w:r>
      <w:r>
        <w:rPr>
          <w:i/>
          <w:iCs w:val="0"/>
        </w:rPr>
        <w:t xml:space="preserve">Chouhan, </w:t>
      </w:r>
      <w:r>
        <w:t>the SCC held that s. </w:t>
      </w:r>
      <w:hyperlink r:id="rId394" w:anchor="!fragment/sec11" w:tgtFrame="_blank" w:history="1">
        <w:r>
          <w:rPr>
            <w:rStyle w:val="Hyperlink"/>
            <w:color w:val="660000"/>
          </w:rPr>
          <w:t>Section 11</w:t>
        </w:r>
      </w:hyperlink>
      <w:r>
        <w:t xml:space="preserve">(f)’s guarantee of representativeness requires the state to provide a fair opportunity for a broad cross-section of society to participate in the jury process, by compiling a jury roll that draws from a broadly inclusive source list and delivering jury notices to those who have been selected: </w:t>
      </w:r>
      <w:hyperlink r:id="rId395" w:history="1">
        <w:r w:rsidRPr="00E863D8">
          <w:rPr>
            <w:rStyle w:val="Hyperlink"/>
          </w:rPr>
          <w:t>2021 SCC 26</w:t>
        </w:r>
      </w:hyperlink>
    </w:p>
    <w:p w14:paraId="125ECBF0" w14:textId="77777777" w:rsidR="00E863D8" w:rsidRDefault="00E863D8" w:rsidP="000B18E5">
      <w:pPr>
        <w:pStyle w:val="NoSpacing"/>
      </w:pPr>
    </w:p>
    <w:p w14:paraId="2E8A47EE" w14:textId="231FB490" w:rsidR="00771606" w:rsidRPr="00BB3634" w:rsidRDefault="00771606" w:rsidP="000B18E5">
      <w:pPr>
        <w:pStyle w:val="NoSpacing"/>
      </w:pPr>
      <w:r w:rsidRPr="00BB3634">
        <w:t xml:space="preserve">In </w:t>
      </w:r>
      <w:r w:rsidRPr="00BB3634">
        <w:rPr>
          <w:i/>
        </w:rPr>
        <w:t xml:space="preserve">R v Peers, </w:t>
      </w:r>
      <w:hyperlink r:id="rId396" w:history="1">
        <w:r w:rsidRPr="00BB3634">
          <w:rPr>
            <w:rStyle w:val="Hyperlink"/>
            <w:color w:val="000000" w:themeColor="text1"/>
          </w:rPr>
          <w:t>2017 SCC 13</w:t>
        </w:r>
      </w:hyperlink>
      <w:r w:rsidRPr="00BB3634">
        <w:t xml:space="preserve"> and </w:t>
      </w:r>
      <w:r w:rsidRPr="00BB3634">
        <w:rPr>
          <w:i/>
        </w:rPr>
        <w:t xml:space="preserve">R v Aitkens, </w:t>
      </w:r>
      <w:hyperlink r:id="rId397" w:history="1">
        <w:r w:rsidRPr="00BB3634">
          <w:rPr>
            <w:rStyle w:val="Hyperlink"/>
            <w:color w:val="000000" w:themeColor="text1"/>
          </w:rPr>
          <w:t>2017 SCC 14</w:t>
        </w:r>
      </w:hyperlink>
      <w:r w:rsidRPr="00BB3634">
        <w:t xml:space="preserve">, the Supreme Court of Canada upheld the Alberta Court of Appeal’s majority decision in </w:t>
      </w:r>
      <w:r w:rsidRPr="00BB3634">
        <w:rPr>
          <w:i/>
        </w:rPr>
        <w:t>Aitkens</w:t>
      </w:r>
      <w:r w:rsidRPr="00BB3634">
        <w:t xml:space="preserve"> to deny an interpretation of 11(f) of the </w:t>
      </w:r>
      <w:r w:rsidRPr="00BB3634">
        <w:rPr>
          <w:i/>
        </w:rPr>
        <w:t xml:space="preserve">Charter </w:t>
      </w:r>
      <w:r w:rsidRPr="00BB3634">
        <w:t>that would allow the Appellants the right to a jury trial where their offences carried a maximum sentence of fives years less a day and a fine of up to $5. 11(f) guarantees a right to a jury trial where the maximum sentence is five years. The appellants argued that the potential punishment of five years less a day, plus a $5 million fine, amounted to a "more severe punishment" which generated the right to a jury trial.</w:t>
      </w:r>
    </w:p>
    <w:p w14:paraId="44FA606F" w14:textId="77777777" w:rsidR="00771606" w:rsidRPr="00BB3634" w:rsidRDefault="00771606" w:rsidP="000B18E5">
      <w:pPr>
        <w:pStyle w:val="NoSpacing"/>
      </w:pPr>
    </w:p>
    <w:p w14:paraId="094B9FA8" w14:textId="5014CF65" w:rsidR="00771606" w:rsidRPr="00BB3634" w:rsidRDefault="00771606" w:rsidP="000B18E5">
      <w:pPr>
        <w:pStyle w:val="NoSpacing"/>
      </w:pPr>
      <w:r w:rsidRPr="00BB3634">
        <w:t xml:space="preserve">The Supreme Court agreed with the Alberta Court of Appeal decision in </w:t>
      </w:r>
      <w:r w:rsidRPr="00BB3634">
        <w:rPr>
          <w:i/>
        </w:rPr>
        <w:t>Aitkens</w:t>
      </w:r>
      <w:r w:rsidRPr="00BB3634">
        <w:t xml:space="preserve">, which held that, on a proper purposive interpretation of s. 11(f) of the Charter, the expression "imprisonment for five years or a more severe punishment" should be interpreted as primarily engaging the deprivation of liberty inherent in the maximum sentence of imprisonment imposed by the statute. This interpretation appropriately serves the purpose of the Charter in distinguishing between those crimes that are serious enough to warrant a jury trial and those that were not. A maximum penalty of "five years less a day" does not become a more severe </w:t>
      </w:r>
      <w:r w:rsidRPr="00BB3634">
        <w:lastRenderedPageBreak/>
        <w:t>penalty just because some collateral negative consequences are added to it: 2017 SCC</w:t>
      </w:r>
    </w:p>
    <w:p w14:paraId="6743347B" w14:textId="77777777" w:rsidR="00771606" w:rsidRPr="00BB3634" w:rsidRDefault="00771606" w:rsidP="00BB3634">
      <w:pPr>
        <w:spacing w:line="276" w:lineRule="auto"/>
        <w:rPr>
          <w:rFonts w:ascii="Arial" w:hAnsi="Arial" w:cs="Arial"/>
        </w:rPr>
      </w:pPr>
    </w:p>
    <w:p w14:paraId="3810AA14" w14:textId="77777777" w:rsidR="00B356B5" w:rsidRPr="00BB3634" w:rsidRDefault="00B356B5" w:rsidP="00BB3634">
      <w:pPr>
        <w:spacing w:line="276" w:lineRule="auto"/>
        <w:rPr>
          <w:rFonts w:ascii="Arial" w:hAnsi="Arial" w:cs="Arial"/>
        </w:rPr>
      </w:pPr>
    </w:p>
    <w:p w14:paraId="72598466" w14:textId="2F3C4D16" w:rsidR="00B356B5" w:rsidRPr="00BB3634" w:rsidRDefault="00FE4882" w:rsidP="00BB3634">
      <w:pPr>
        <w:pStyle w:val="Heading1"/>
        <w:spacing w:line="276" w:lineRule="auto"/>
        <w:rPr>
          <w:sz w:val="24"/>
          <w:szCs w:val="24"/>
        </w:rPr>
      </w:pPr>
      <w:bookmarkStart w:id="141" w:name="_Toc94360222"/>
      <w:r w:rsidRPr="00BB3634">
        <w:rPr>
          <w:sz w:val="24"/>
          <w:szCs w:val="24"/>
        </w:rPr>
        <w:t>SECTION 11(H)</w:t>
      </w:r>
      <w:bookmarkEnd w:id="141"/>
    </w:p>
    <w:p w14:paraId="6639DA92" w14:textId="77777777" w:rsidR="00603ADB" w:rsidRPr="00BB3634" w:rsidRDefault="00603ADB" w:rsidP="000B18E5">
      <w:pPr>
        <w:pStyle w:val="NoSpacing"/>
      </w:pPr>
      <w:r w:rsidRPr="00BB3634">
        <w:t>Section 11(h) looks forward from the date of sentencing and applies to legislation or other state action that is said to increase the punishment imposed on the offender at the time of sentence.</w:t>
      </w:r>
    </w:p>
    <w:p w14:paraId="5483138A" w14:textId="77777777" w:rsidR="00603ADB" w:rsidRPr="00BB3634" w:rsidRDefault="00603ADB" w:rsidP="000B18E5">
      <w:pPr>
        <w:pStyle w:val="NoSpacing"/>
      </w:pPr>
    </w:p>
    <w:p w14:paraId="0ACA0DC0" w14:textId="50935907" w:rsidR="00B356B5" w:rsidRPr="00BB3634" w:rsidRDefault="00B356B5" w:rsidP="000B18E5">
      <w:pPr>
        <w:pStyle w:val="NoSpacing"/>
      </w:pPr>
      <w:r w:rsidRPr="00BB3634">
        <w:t>Section 11(h) promotes finality and fairness in the sentencing process by enjoining state conduct that adds to the punishment already imposed for the offence. Section 11(h) crystallize[s] punishment at the time that sentence is imposed</w:t>
      </w:r>
      <w:r w:rsidR="00CA6B9A" w:rsidRPr="00BB3634">
        <w:t xml:space="preserve">.   The protections afforded by s. 11(h) apply only if the challenged state conduct amounts to “punishment:” </w:t>
      </w:r>
      <w:r w:rsidR="00CA6B9A" w:rsidRPr="00BB3634">
        <w:rPr>
          <w:i/>
        </w:rPr>
        <w:t xml:space="preserve">R v Dell, </w:t>
      </w:r>
      <w:hyperlink r:id="rId398" w:history="1">
        <w:r w:rsidR="00CA6B9A" w:rsidRPr="00BB3634">
          <w:rPr>
            <w:rStyle w:val="Hyperlink"/>
          </w:rPr>
          <w:t>2018 ONCA 674</w:t>
        </w:r>
      </w:hyperlink>
      <w:r w:rsidR="00CA6B9A" w:rsidRPr="00BB3634">
        <w:t>, at para</w:t>
      </w:r>
      <w:r w:rsidR="00265F26" w:rsidRPr="00BB3634">
        <w:t>s</w:t>
      </w:r>
      <w:r w:rsidR="00CA6B9A" w:rsidRPr="00BB3634">
        <w:t xml:space="preserve"> 32</w:t>
      </w:r>
      <w:r w:rsidR="00603ADB" w:rsidRPr="00BB3634">
        <w:t>-34</w:t>
      </w:r>
    </w:p>
    <w:p w14:paraId="40B7C59C" w14:textId="77777777" w:rsidR="00CA74DE" w:rsidRPr="00BB3634" w:rsidRDefault="00CA74DE" w:rsidP="000B18E5">
      <w:pPr>
        <w:pStyle w:val="NoSpacing"/>
      </w:pPr>
    </w:p>
    <w:p w14:paraId="41DB62FC" w14:textId="1C752E9C" w:rsidR="00CA74DE" w:rsidRPr="00BB3634" w:rsidRDefault="00CA74DE" w:rsidP="000B18E5">
      <w:pPr>
        <w:pStyle w:val="NoSpacing"/>
      </w:pPr>
      <w:r w:rsidRPr="00BB3634">
        <w:t xml:space="preserve">In </w:t>
      </w:r>
      <w:r w:rsidRPr="00BB3634">
        <w:rPr>
          <w:i/>
        </w:rPr>
        <w:t>Whaling</w:t>
      </w:r>
      <w:r w:rsidRPr="00BB3634">
        <w:t xml:space="preserve">, for example, the </w:t>
      </w:r>
      <w:r w:rsidR="00802453" w:rsidRPr="00BB3634">
        <w:t>Supreme Court</w:t>
      </w:r>
      <w:r w:rsidRPr="00BB3634">
        <w:t xml:space="preserve"> held that the repeal of early parole for offenders who were already serving their sentence amounted to the imposition of a second and additional punishment for the offence, and thereby violated s.11(h) of the Charter: </w:t>
      </w:r>
      <w:r w:rsidR="00802453" w:rsidRPr="00BB3634">
        <w:rPr>
          <w:i/>
        </w:rPr>
        <w:t>Whaling v. Canada (Attorney General)</w:t>
      </w:r>
      <w:r w:rsidR="00802453" w:rsidRPr="00BB3634">
        <w:t>, 2014 SCC 20</w:t>
      </w:r>
    </w:p>
    <w:p w14:paraId="007FEF48" w14:textId="77777777" w:rsidR="00B356B5" w:rsidRPr="00BB3634" w:rsidRDefault="00B356B5" w:rsidP="00BB3634">
      <w:pPr>
        <w:spacing w:line="276" w:lineRule="auto"/>
        <w:rPr>
          <w:rFonts w:ascii="Arial" w:hAnsi="Arial" w:cs="Arial"/>
        </w:rPr>
      </w:pPr>
    </w:p>
    <w:p w14:paraId="0778FC33" w14:textId="01EF2516" w:rsidR="00716497" w:rsidRPr="00BB3634" w:rsidRDefault="00716497" w:rsidP="00FF4E15">
      <w:pPr>
        <w:pStyle w:val="Heading2"/>
        <w:numPr>
          <w:ilvl w:val="0"/>
          <w:numId w:val="33"/>
        </w:numPr>
        <w:spacing w:line="276" w:lineRule="auto"/>
        <w:rPr>
          <w:rFonts w:cs="Arial"/>
        </w:rPr>
      </w:pPr>
      <w:bookmarkStart w:id="142" w:name="_Toc94360223"/>
      <w:r w:rsidRPr="00BB3634">
        <w:rPr>
          <w:rFonts w:cs="Arial"/>
        </w:rPr>
        <w:t>Definitio</w:t>
      </w:r>
      <w:r w:rsidR="00D23AF9" w:rsidRPr="00BB3634">
        <w:rPr>
          <w:rFonts w:cs="Arial"/>
        </w:rPr>
        <w:t>n</w:t>
      </w:r>
      <w:r w:rsidRPr="00BB3634">
        <w:rPr>
          <w:rFonts w:cs="Arial"/>
        </w:rPr>
        <w:t xml:space="preserve"> of Punishment</w:t>
      </w:r>
      <w:bookmarkEnd w:id="142"/>
    </w:p>
    <w:p w14:paraId="2199302C" w14:textId="77777777" w:rsidR="00EF5D24" w:rsidRPr="00BB3634" w:rsidRDefault="00EF5D24" w:rsidP="000B18E5">
      <w:pPr>
        <w:pStyle w:val="NoSpacing"/>
      </w:pPr>
    </w:p>
    <w:p w14:paraId="43442C7E" w14:textId="0663113E" w:rsidR="002803F4" w:rsidRPr="00BB3634" w:rsidRDefault="002803F4" w:rsidP="000B18E5">
      <w:pPr>
        <w:pStyle w:val="NoSpacing"/>
      </w:pPr>
      <w:r w:rsidRPr="00BB3634">
        <w:t>If a prohibition that is imposed as part of a criminal sentencing process meaningfully restricts the liberty or security interest of an accused, the object of the prohibition is sufficiently punitive to attract the presumption against retrospectivity, even if it also serves to protect the public. </w:t>
      </w:r>
      <w:r w:rsidRPr="00BB3634">
        <w:rPr>
          <w:i/>
        </w:rPr>
        <w:t>R v Hooyer, </w:t>
      </w:r>
      <w:r w:rsidRPr="00BB3634">
        <w:rPr>
          <w:u w:val="single"/>
        </w:rPr>
        <w:t>2016 ONCA 44</w:t>
      </w:r>
      <w:r w:rsidRPr="00BB3634">
        <w:t xml:space="preserve"> at paras 41-44. E.g.: a DNA order or a sex-offender registry order would not be regarded as punishment: para 45</w:t>
      </w:r>
    </w:p>
    <w:p w14:paraId="296BA7F4" w14:textId="77777777" w:rsidR="002803F4" w:rsidRPr="00BB3634" w:rsidRDefault="002803F4" w:rsidP="000B18E5">
      <w:pPr>
        <w:pStyle w:val="NoSpacing"/>
      </w:pPr>
    </w:p>
    <w:p w14:paraId="72AEA844" w14:textId="77777777" w:rsidR="00716497" w:rsidRPr="00BB3634" w:rsidRDefault="00716497" w:rsidP="000B18E5">
      <w:pPr>
        <w:pStyle w:val="NoSpacing"/>
      </w:pPr>
      <w:r w:rsidRPr="00BB3634">
        <w:t>In deciding whether a particular legislative provision, or other state action, amounts to punishment, the court takes a pragmatic and functional approach, focusing on the actual impact of that legislation or state conduct on the offender’s liberty and security interests. In other words, what does the impugned state action actually do to the offender’s liberty expectations?</w:t>
      </w:r>
    </w:p>
    <w:p w14:paraId="317A20EE" w14:textId="77777777" w:rsidR="00716497" w:rsidRPr="00BB3634" w:rsidRDefault="00716497" w:rsidP="000B18E5">
      <w:pPr>
        <w:pStyle w:val="NoSpacing"/>
      </w:pPr>
    </w:p>
    <w:p w14:paraId="4127A64C" w14:textId="77777777" w:rsidR="009C4DD3" w:rsidRPr="00BB3634" w:rsidRDefault="00716497" w:rsidP="000B18E5">
      <w:pPr>
        <w:pStyle w:val="NoSpacing"/>
      </w:pPr>
      <w:r w:rsidRPr="00BB3634">
        <w:t>Sanctions, which are imposed as a consequence of conviction in furtherance of the purpose and principles of sentencing, are viewed as punishment. Similarly, other changes in the terms or conditions of a sentence that thwart or compromise the offender’s reasonable liberty or security of the person expectations will be regarded as punishment for the pu</w:t>
      </w:r>
      <w:r w:rsidR="009C4DD3" w:rsidRPr="00BB3634">
        <w:t xml:space="preserve">rposes of s. 11(h) and s. 11(i). </w:t>
      </w:r>
    </w:p>
    <w:p w14:paraId="52731A6A" w14:textId="77777777" w:rsidR="009C4DD3" w:rsidRPr="00BB3634" w:rsidRDefault="009C4DD3" w:rsidP="000B18E5">
      <w:pPr>
        <w:pStyle w:val="NoSpacing"/>
      </w:pPr>
    </w:p>
    <w:p w14:paraId="354E176A" w14:textId="76311F9E" w:rsidR="00716497" w:rsidRPr="00BB3634" w:rsidRDefault="009C4DD3" w:rsidP="000B18E5">
      <w:pPr>
        <w:pStyle w:val="NoSpacing"/>
      </w:pPr>
      <w:r w:rsidRPr="00BB3634">
        <w:t> Legislation or other state conduct that does not impose or alter a criminal sanction may still constitute punishment under s. 11(h) or s. 11(i). Changes in the conditions of an offender’s sentence can sufficiently compromise reasonable settled expectations of liberty to constitute additional punishment for the purposes of s. 11(h) and s. 11(i</w:t>
      </w:r>
      <w:r w:rsidR="004A30B2" w:rsidRPr="00BB3634">
        <w:t>). I</w:t>
      </w:r>
      <w:r w:rsidRPr="00BB3634">
        <w:t xml:space="preserve">t is a question of degree: </w:t>
      </w:r>
      <w:r w:rsidR="00716497" w:rsidRPr="00BB3634">
        <w:rPr>
          <w:i/>
        </w:rPr>
        <w:t xml:space="preserve">R v Dell, </w:t>
      </w:r>
      <w:hyperlink r:id="rId399" w:history="1">
        <w:r w:rsidR="00716497" w:rsidRPr="00BB3634">
          <w:rPr>
            <w:rStyle w:val="Hyperlink"/>
          </w:rPr>
          <w:t>2018 ONCA 674</w:t>
        </w:r>
      </w:hyperlink>
      <w:r w:rsidR="00716497" w:rsidRPr="00BB3634">
        <w:t xml:space="preserve"> at paras 53, 55</w:t>
      </w:r>
      <w:r w:rsidR="002803F4" w:rsidRPr="00BB3634">
        <w:t>, 56</w:t>
      </w:r>
      <w:r w:rsidRPr="00BB3634">
        <w:t>, 58</w:t>
      </w:r>
    </w:p>
    <w:p w14:paraId="075535CA" w14:textId="24405B03" w:rsidR="00EF5D24" w:rsidRPr="00BB3634" w:rsidRDefault="00EF5D24" w:rsidP="00BB3634">
      <w:pPr>
        <w:spacing w:line="276" w:lineRule="auto"/>
        <w:rPr>
          <w:rFonts w:ascii="Arial" w:hAnsi="Arial" w:cs="Arial"/>
        </w:rPr>
      </w:pPr>
    </w:p>
    <w:p w14:paraId="53F03E7B" w14:textId="77777777" w:rsidR="00EF5D24" w:rsidRPr="00BB3634" w:rsidRDefault="00EF5D24" w:rsidP="00BB3634">
      <w:pPr>
        <w:spacing w:line="276" w:lineRule="auto"/>
        <w:rPr>
          <w:rFonts w:ascii="Arial" w:hAnsi="Arial" w:cs="Arial"/>
        </w:rPr>
      </w:pPr>
    </w:p>
    <w:p w14:paraId="61B24500" w14:textId="1584ED8F" w:rsidR="00D743FB" w:rsidRPr="00BB3634" w:rsidRDefault="00FE4882" w:rsidP="00BB3634">
      <w:pPr>
        <w:pStyle w:val="Heading1"/>
        <w:spacing w:line="276" w:lineRule="auto"/>
        <w:rPr>
          <w:sz w:val="24"/>
          <w:szCs w:val="24"/>
        </w:rPr>
      </w:pPr>
      <w:bookmarkStart w:id="143" w:name="_Toc94360224"/>
      <w:r w:rsidRPr="00BB3634">
        <w:rPr>
          <w:sz w:val="24"/>
          <w:szCs w:val="24"/>
        </w:rPr>
        <w:t>SECTION 11(I)</w:t>
      </w:r>
      <w:bookmarkEnd w:id="143"/>
    </w:p>
    <w:p w14:paraId="09B11D7B" w14:textId="25632908" w:rsidR="00097523" w:rsidRPr="00BB3634" w:rsidRDefault="00C3184E" w:rsidP="00BB3634">
      <w:pPr>
        <w:pStyle w:val="Heading2"/>
        <w:numPr>
          <w:ilvl w:val="0"/>
          <w:numId w:val="6"/>
        </w:numPr>
        <w:spacing w:line="276" w:lineRule="auto"/>
        <w:ind w:left="360"/>
        <w:rPr>
          <w:rFonts w:cs="Arial"/>
        </w:rPr>
      </w:pPr>
      <w:bookmarkStart w:id="144" w:name="_Toc94360225"/>
      <w:r w:rsidRPr="00BB3634">
        <w:rPr>
          <w:rFonts w:cs="Arial"/>
        </w:rPr>
        <w:t>General Principles</w:t>
      </w:r>
      <w:bookmarkEnd w:id="144"/>
    </w:p>
    <w:p w14:paraId="11009C7A" w14:textId="26E9A59C" w:rsidR="00603ADB" w:rsidRPr="00BB3634" w:rsidRDefault="00603ADB" w:rsidP="000B18E5">
      <w:pPr>
        <w:pStyle w:val="NoSpacing"/>
      </w:pPr>
      <w:r w:rsidRPr="00BB3634">
        <w:t>Section 11(i) is applicable if there has been a change in the penalty, whether an increase or a decrease, between the date when the offence was committed and the date when the sentence is imposed. </w:t>
      </w:r>
    </w:p>
    <w:p w14:paraId="6C830658" w14:textId="77777777" w:rsidR="00603ADB" w:rsidRPr="00BB3634" w:rsidRDefault="00603ADB" w:rsidP="000B18E5">
      <w:pPr>
        <w:pStyle w:val="NoSpacing"/>
      </w:pPr>
    </w:p>
    <w:p w14:paraId="6E42F0D8" w14:textId="2B86D9FC" w:rsidR="00C3184E" w:rsidRPr="00BB3634" w:rsidRDefault="00C3184E" w:rsidP="000B18E5">
      <w:pPr>
        <w:pStyle w:val="NoSpacing"/>
      </w:pPr>
      <w:r w:rsidRPr="00BB3634">
        <w:t xml:space="preserve">Section 11(i) enhances the predictability and fairness of the sentencing process by identifying the applicable sentencing provisions when those provisions have been changed in the course of the process, and by preventing the retrospective application of harsher penalties. The protections afforded by s. 11(i) apply only if the challenged state conduct amounts to “punishment:” </w:t>
      </w:r>
      <w:r w:rsidRPr="00BB3634">
        <w:rPr>
          <w:i/>
        </w:rPr>
        <w:t xml:space="preserve">R v Dell, </w:t>
      </w:r>
      <w:hyperlink r:id="rId400" w:history="1">
        <w:r w:rsidRPr="00BB3634">
          <w:rPr>
            <w:rStyle w:val="Hyperlink"/>
          </w:rPr>
          <w:t>2018 ONCA 674</w:t>
        </w:r>
      </w:hyperlink>
      <w:r w:rsidRPr="00BB3634">
        <w:t>, at paras 32</w:t>
      </w:r>
      <w:r w:rsidR="00603ADB" w:rsidRPr="00BB3634">
        <w:t>-34</w:t>
      </w:r>
    </w:p>
    <w:p w14:paraId="38FD13AB" w14:textId="77777777" w:rsidR="00897E80" w:rsidRPr="00BB3634" w:rsidRDefault="00897E80" w:rsidP="000B18E5">
      <w:pPr>
        <w:pStyle w:val="NoSpacing"/>
      </w:pPr>
    </w:p>
    <w:p w14:paraId="5FE84F20" w14:textId="589A3679" w:rsidR="00897E80" w:rsidRDefault="0046024C" w:rsidP="000B18E5">
      <w:pPr>
        <w:pStyle w:val="NoSpacing"/>
        <w:rPr>
          <w:rStyle w:val="Hyperlink"/>
        </w:rPr>
      </w:pPr>
      <w:r w:rsidRPr="00BB3634">
        <w:t xml:space="preserve">Section 11(i) does not permit an offender to receive a temporary reduction in punishment between the time of commission of the offence and the time of sentencing. This </w:t>
      </w:r>
      <w:r w:rsidRPr="00BB3634">
        <w:rPr>
          <w:i/>
        </w:rPr>
        <w:t xml:space="preserve">Charter </w:t>
      </w:r>
      <w:r w:rsidRPr="00BB3634">
        <w:t xml:space="preserve">right only guarantees that the offender is eligible to receive the lesser punishment available between these two distinct periods of time: </w:t>
      </w:r>
      <w:r w:rsidRPr="00BB3634">
        <w:rPr>
          <w:i/>
        </w:rPr>
        <w:t xml:space="preserve">R v Poulin, </w:t>
      </w:r>
      <w:hyperlink r:id="rId401" w:history="1">
        <w:r w:rsidRPr="00BB3634">
          <w:rPr>
            <w:rStyle w:val="Hyperlink"/>
          </w:rPr>
          <w:t>2019 SCC 47</w:t>
        </w:r>
      </w:hyperlink>
    </w:p>
    <w:p w14:paraId="2F28984D" w14:textId="77777777" w:rsidR="00C57050" w:rsidRPr="00BB3634" w:rsidRDefault="00C57050" w:rsidP="000B18E5">
      <w:pPr>
        <w:pStyle w:val="NoSpacing"/>
      </w:pPr>
    </w:p>
    <w:p w14:paraId="27AEE7FA" w14:textId="053FFD14" w:rsidR="00B16179" w:rsidRPr="00BB3634" w:rsidRDefault="00B16179" w:rsidP="00FF4E15">
      <w:pPr>
        <w:pStyle w:val="Heading2"/>
        <w:numPr>
          <w:ilvl w:val="0"/>
          <w:numId w:val="31"/>
        </w:numPr>
        <w:spacing w:line="276" w:lineRule="auto"/>
        <w:rPr>
          <w:rFonts w:cs="Arial"/>
        </w:rPr>
      </w:pPr>
      <w:bookmarkStart w:id="145" w:name="_Toc94360226"/>
      <w:r w:rsidRPr="00BB3634">
        <w:rPr>
          <w:rFonts w:cs="Arial"/>
        </w:rPr>
        <w:lastRenderedPageBreak/>
        <w:t>Definition of “Time of Sentencing”</w:t>
      </w:r>
      <w:bookmarkEnd w:id="145"/>
    </w:p>
    <w:p w14:paraId="6A9F6A91" w14:textId="77777777" w:rsidR="00B16179" w:rsidRPr="00BB3634" w:rsidRDefault="00B16179" w:rsidP="00BB3634">
      <w:pPr>
        <w:spacing w:line="276" w:lineRule="auto"/>
        <w:rPr>
          <w:rFonts w:ascii="Arial" w:hAnsi="Arial" w:cs="Arial"/>
        </w:rPr>
      </w:pPr>
    </w:p>
    <w:p w14:paraId="58F28BAF" w14:textId="048764AA" w:rsidR="00D15CDC" w:rsidRPr="00BB3634" w:rsidRDefault="002C3977" w:rsidP="000B18E5">
      <w:pPr>
        <w:pStyle w:val="NoSpacing"/>
      </w:pPr>
      <w:r w:rsidRPr="00BB3634">
        <w:t>For the purpose of section 11(i),  </w:t>
      </w:r>
      <w:r w:rsidR="000D11C1" w:rsidRPr="00BB3634">
        <w:t>s</w:t>
      </w:r>
      <w:r w:rsidRPr="00BB3634">
        <w:t>entencing for murder involves a unique two-step process. The first step is taken when the sentence is imposed and the second occurs if and when an application for a reduction of the period of parole ineligibility is made. </w:t>
      </w:r>
      <w:r w:rsidR="00D15CDC" w:rsidRPr="00BB3634">
        <w:t xml:space="preserve"> Even though the second part of the process occurs after the person has served at least 15 years of her sentence, for the purposes of s. 11(i), the “time of sentencing” can encompass both steps in the process: </w:t>
      </w:r>
      <w:r w:rsidR="00D15CDC" w:rsidRPr="00BB3634">
        <w:rPr>
          <w:i/>
        </w:rPr>
        <w:t xml:space="preserve">Dell </w:t>
      </w:r>
      <w:r w:rsidR="00D15CDC" w:rsidRPr="00BB3634">
        <w:t>at para 39</w:t>
      </w:r>
    </w:p>
    <w:p w14:paraId="090390AE" w14:textId="77777777" w:rsidR="002C3977" w:rsidRPr="00BB3634" w:rsidRDefault="002C3977" w:rsidP="00BB3634">
      <w:pPr>
        <w:spacing w:line="276" w:lineRule="auto"/>
        <w:rPr>
          <w:rFonts w:ascii="Arial" w:hAnsi="Arial" w:cs="Arial"/>
        </w:rPr>
      </w:pPr>
    </w:p>
    <w:p w14:paraId="40D1AE69" w14:textId="076AEA79" w:rsidR="000D11C1" w:rsidRPr="00BB3634" w:rsidRDefault="000D11C1" w:rsidP="000B18E5">
      <w:pPr>
        <w:pStyle w:val="NoSpacing"/>
      </w:pPr>
      <w:r w:rsidRPr="00BB3634">
        <w:t xml:space="preserve">Other cases have </w:t>
      </w:r>
      <w:r w:rsidR="001C37B2" w:rsidRPr="00BB3634">
        <w:t>that</w:t>
      </w:r>
      <w:r w:rsidRPr="00BB3634">
        <w:t xml:space="preserve"> the phrase “time of sentencing” in s. 11(i) should be read as reaching the time at which an appeal court reviews the fitness of a sentence imposed at trial. Changes in sentencing provisions made between the trial and the appeal, which increased or decreased the sentence for the offence as it stood when the crime was committed, were subject to review under s. 11(i)</w:t>
      </w:r>
      <w:r w:rsidR="001C37B2" w:rsidRPr="00BB3634">
        <w:t xml:space="preserve">: </w:t>
      </w:r>
      <w:r w:rsidR="00E47E10" w:rsidRPr="00BB3634">
        <w:rPr>
          <w:i/>
        </w:rPr>
        <w:t xml:space="preserve">Dell </w:t>
      </w:r>
      <w:r w:rsidR="00E47E10" w:rsidRPr="00BB3634">
        <w:t>at para 40</w:t>
      </w:r>
    </w:p>
    <w:p w14:paraId="0C0FB9AC" w14:textId="5A772756" w:rsidR="00C3184E" w:rsidRPr="00BB3634" w:rsidRDefault="00C3184E" w:rsidP="00BB3634">
      <w:pPr>
        <w:spacing w:line="276" w:lineRule="auto"/>
        <w:rPr>
          <w:rFonts w:ascii="Arial" w:hAnsi="Arial" w:cs="Arial"/>
        </w:rPr>
      </w:pPr>
    </w:p>
    <w:p w14:paraId="287D77A9" w14:textId="11C33017" w:rsidR="00D743FB" w:rsidRPr="00BB3634" w:rsidRDefault="00D23AF9" w:rsidP="00FF4E15">
      <w:pPr>
        <w:pStyle w:val="Heading2"/>
        <w:numPr>
          <w:ilvl w:val="0"/>
          <w:numId w:val="32"/>
        </w:numPr>
        <w:spacing w:line="276" w:lineRule="auto"/>
        <w:ind w:left="360"/>
        <w:rPr>
          <w:rFonts w:cs="Arial"/>
        </w:rPr>
      </w:pPr>
      <w:bookmarkStart w:id="146" w:name="_Toc94360227"/>
      <w:r w:rsidRPr="00BB3634">
        <w:rPr>
          <w:rFonts w:cs="Arial"/>
        </w:rPr>
        <w:t>D</w:t>
      </w:r>
      <w:r w:rsidR="00D743FB" w:rsidRPr="00BB3634">
        <w:rPr>
          <w:rFonts w:cs="Arial"/>
        </w:rPr>
        <w:t xml:space="preserve">efinition of </w:t>
      </w:r>
      <w:r w:rsidRPr="00BB3634">
        <w:rPr>
          <w:rFonts w:cs="Arial"/>
        </w:rPr>
        <w:t>P</w:t>
      </w:r>
      <w:r w:rsidR="00D743FB" w:rsidRPr="00BB3634">
        <w:rPr>
          <w:rFonts w:cs="Arial"/>
        </w:rPr>
        <w:t>unishment</w:t>
      </w:r>
      <w:bookmarkEnd w:id="146"/>
    </w:p>
    <w:p w14:paraId="74617DFC" w14:textId="77777777" w:rsidR="00EF5D24" w:rsidRPr="00BB3634" w:rsidRDefault="00EF5D24" w:rsidP="000B18E5">
      <w:pPr>
        <w:pStyle w:val="NoSpacing"/>
      </w:pPr>
    </w:p>
    <w:p w14:paraId="55420B83" w14:textId="1EB3D790" w:rsidR="00D743FB" w:rsidRPr="00BB3634" w:rsidRDefault="00D743FB" w:rsidP="000B18E5">
      <w:pPr>
        <w:pStyle w:val="NoSpacing"/>
      </w:pPr>
      <w:r w:rsidRPr="00BB3634">
        <w:t>If a prohibition that is imposed as part of a criminal sentencing process meaningfully restricts the liberty or security interest of an accused, the object of the prohibition is sufficiently punitive to attract the presumption against retrospectivity, even if it also serves to protect the public. </w:t>
      </w:r>
      <w:r w:rsidRPr="00BB3634">
        <w:rPr>
          <w:i/>
        </w:rPr>
        <w:t>R v Hooyer, </w:t>
      </w:r>
      <w:r w:rsidRPr="00BB3634">
        <w:rPr>
          <w:u w:val="single"/>
        </w:rPr>
        <w:t>2016 ONCA 44</w:t>
      </w:r>
      <w:r w:rsidRPr="00BB3634">
        <w:t xml:space="preserve"> at paras 41-44. E.g.: a DNA order or a sex-offender registry order would not be regarded as punishment: para 45</w:t>
      </w:r>
    </w:p>
    <w:p w14:paraId="00C83FA8" w14:textId="77777777" w:rsidR="00B16179" w:rsidRPr="00BB3634" w:rsidRDefault="00B16179" w:rsidP="000B18E5">
      <w:pPr>
        <w:pStyle w:val="NoSpacing"/>
      </w:pPr>
    </w:p>
    <w:p w14:paraId="4334FC5E" w14:textId="77777777" w:rsidR="00716497" w:rsidRPr="00BB3634" w:rsidRDefault="00716497" w:rsidP="000B18E5">
      <w:pPr>
        <w:pStyle w:val="NoSpacing"/>
      </w:pPr>
      <w:r w:rsidRPr="00BB3634">
        <w:t> In deciding whether a particular legislative provision, or other state action, amounts to punishment, the court takes a pragmatic and functional approach, focusing on the actual impact of that legislation or state conduct on the offender’s liberty and security interests. In other words, what does the impugned state action actually do to the offender’s liberty expectations?</w:t>
      </w:r>
    </w:p>
    <w:p w14:paraId="62C27278" w14:textId="77777777" w:rsidR="00716497" w:rsidRPr="00BB3634" w:rsidRDefault="00716497" w:rsidP="000B18E5">
      <w:pPr>
        <w:pStyle w:val="NoSpacing"/>
      </w:pPr>
    </w:p>
    <w:p w14:paraId="226ED33B" w14:textId="77777777" w:rsidR="009C4DD3" w:rsidRPr="00BB3634" w:rsidRDefault="00B16179" w:rsidP="000B18E5">
      <w:pPr>
        <w:pStyle w:val="NoSpacing"/>
      </w:pPr>
      <w:r w:rsidRPr="00BB3634">
        <w:t>Sanctions, which are imposed as a consequence of conviction in furtherance of the purpose and principles of sentencing, are viewed as punishment. Similarly, other changes in the terms or conditions of a sentence that thwart or compromise the offender’s reasonable liberty or security of the person expectations will be regarded as punishment for the pu</w:t>
      </w:r>
      <w:r w:rsidR="009C4DD3" w:rsidRPr="00BB3634">
        <w:t>rposes of s. 11(h) and s. 11(i)</w:t>
      </w:r>
    </w:p>
    <w:p w14:paraId="71401027" w14:textId="77777777" w:rsidR="009C4DD3" w:rsidRPr="00BB3634" w:rsidRDefault="009C4DD3" w:rsidP="000B18E5">
      <w:pPr>
        <w:pStyle w:val="NoSpacing"/>
      </w:pPr>
    </w:p>
    <w:p w14:paraId="41B8957D" w14:textId="6CFCC581" w:rsidR="009C4DD3" w:rsidRPr="00BB3634" w:rsidRDefault="009C4DD3" w:rsidP="000B18E5">
      <w:pPr>
        <w:pStyle w:val="NoSpacing"/>
      </w:pPr>
      <w:r w:rsidRPr="00BB3634">
        <w:t> Legislation or other state conduct that does not impose or alter a criminal sanction may still constitute punishment under s. 11(h) or s. 11(i). Changes in the conditions of an offender’s sentence can sufficiently compromise reasonable settled expectations of liberty to constitute additional punishment for the purposes of s. 11(h) and s. 11(i</w:t>
      </w:r>
      <w:r w:rsidR="004A30B2" w:rsidRPr="00BB3634">
        <w:t>). I</w:t>
      </w:r>
      <w:r w:rsidRPr="00BB3634">
        <w:t xml:space="preserve">t is a question of degree: </w:t>
      </w:r>
      <w:r w:rsidRPr="00BB3634">
        <w:rPr>
          <w:i/>
        </w:rPr>
        <w:t xml:space="preserve">R v Dell, </w:t>
      </w:r>
      <w:hyperlink r:id="rId402" w:history="1">
        <w:r w:rsidRPr="00BB3634">
          <w:rPr>
            <w:rStyle w:val="Hyperlink"/>
          </w:rPr>
          <w:t>2018 ONCA 674</w:t>
        </w:r>
      </w:hyperlink>
      <w:r w:rsidRPr="00BB3634">
        <w:t xml:space="preserve"> at paras 53, 55, 56, 58</w:t>
      </w:r>
    </w:p>
    <w:p w14:paraId="1D3EB0A1" w14:textId="5B2B221C" w:rsidR="00B16179" w:rsidRPr="00BB3634" w:rsidRDefault="00B16179" w:rsidP="000B18E5">
      <w:pPr>
        <w:pStyle w:val="NoSpacing"/>
      </w:pPr>
    </w:p>
    <w:p w14:paraId="20C865DD" w14:textId="77777777" w:rsidR="00EF5D24" w:rsidRPr="00BB3634" w:rsidRDefault="00EF5D24" w:rsidP="000B18E5">
      <w:pPr>
        <w:pStyle w:val="NoSpacing"/>
      </w:pPr>
    </w:p>
    <w:p w14:paraId="33D47537" w14:textId="75481C9A" w:rsidR="00D743FB" w:rsidRPr="00BB3634" w:rsidRDefault="00D743FB" w:rsidP="00FF4E15">
      <w:pPr>
        <w:pStyle w:val="Heading2"/>
        <w:numPr>
          <w:ilvl w:val="0"/>
          <w:numId w:val="32"/>
        </w:numPr>
        <w:spacing w:line="276" w:lineRule="auto"/>
        <w:ind w:left="360"/>
        <w:rPr>
          <w:rFonts w:cs="Arial"/>
        </w:rPr>
      </w:pPr>
      <w:bookmarkStart w:id="147" w:name="_Toc94360228"/>
      <w:r w:rsidRPr="00BB3634">
        <w:rPr>
          <w:rFonts w:cs="Arial"/>
        </w:rPr>
        <w:t>Application of the presumption</w:t>
      </w:r>
      <w:bookmarkEnd w:id="147"/>
    </w:p>
    <w:p w14:paraId="328E7589" w14:textId="5C489C76" w:rsidR="00D743FB" w:rsidRPr="00BB3634" w:rsidRDefault="00D743FB" w:rsidP="000B18E5">
      <w:pPr>
        <w:pStyle w:val="NoSpacing"/>
      </w:pPr>
      <w:r w:rsidRPr="00BB3634">
        <w:t>The application of the presumption against retrospectively applies to criminal laws.  It does not depend on the specific terms of an order made by a judge under a criminal law in a given case: </w:t>
      </w:r>
      <w:r w:rsidRPr="00BB3634">
        <w:rPr>
          <w:i/>
        </w:rPr>
        <w:t>R v Hooyer, </w:t>
      </w:r>
      <w:r w:rsidRPr="00BB3634">
        <w:rPr>
          <w:u w:val="single"/>
        </w:rPr>
        <w:t>2016 ONCA 44</w:t>
      </w:r>
      <w:r w:rsidRPr="00BB3634">
        <w:t xml:space="preserve"> at para 46  </w:t>
      </w:r>
    </w:p>
    <w:p w14:paraId="68A73813" w14:textId="77777777" w:rsidR="00EF5D24" w:rsidRPr="00BB3634" w:rsidRDefault="00EF5D24" w:rsidP="000B18E5">
      <w:pPr>
        <w:pStyle w:val="NoSpacing"/>
      </w:pPr>
    </w:p>
    <w:p w14:paraId="1E3FCE28" w14:textId="3AFEDFD4" w:rsidR="00D743FB" w:rsidRPr="00BB3634" w:rsidRDefault="00D743FB" w:rsidP="00FF4E15">
      <w:pPr>
        <w:pStyle w:val="Heading2"/>
        <w:numPr>
          <w:ilvl w:val="0"/>
          <w:numId w:val="32"/>
        </w:numPr>
        <w:spacing w:line="276" w:lineRule="auto"/>
        <w:ind w:left="360"/>
        <w:rPr>
          <w:rFonts w:cs="Arial"/>
        </w:rPr>
      </w:pPr>
      <w:bookmarkStart w:id="148" w:name="_Toc94360229"/>
      <w:r w:rsidRPr="00BB3634">
        <w:rPr>
          <w:rFonts w:cs="Arial"/>
        </w:rPr>
        <w:t>Time of Commission</w:t>
      </w:r>
      <w:bookmarkEnd w:id="148"/>
    </w:p>
    <w:p w14:paraId="4597B935" w14:textId="0437C46A" w:rsidR="00D743FB" w:rsidRPr="00BB3634" w:rsidRDefault="00D743FB" w:rsidP="000B18E5">
      <w:pPr>
        <w:pStyle w:val="NoSpacing"/>
      </w:pPr>
      <w:r w:rsidRPr="00BB3634">
        <w:t>Section 11(i) fixes “the time of commission” of the offence as one of the two relevant points in time to be considered when applying the section - the other being the time of sentencing. A crime is committed when culpability attaches. In the case of a conspiracy, liability attaches when the accused forms the agreement to commit the offence: </w:t>
      </w:r>
      <w:r w:rsidRPr="00BB3634">
        <w:rPr>
          <w:i/>
        </w:rPr>
        <w:t>R v Lalonde</w:t>
      </w:r>
      <w:r w:rsidRPr="00BB3634">
        <w:t xml:space="preserve">, </w:t>
      </w:r>
      <w:r w:rsidRPr="00BB3634">
        <w:rPr>
          <w:u w:val="single"/>
        </w:rPr>
        <w:t>2016 ONCA 923,</w:t>
      </w:r>
      <w:r w:rsidRPr="00BB3634">
        <w:t> at paras 26-28</w:t>
      </w:r>
    </w:p>
    <w:p w14:paraId="6A76C4D0" w14:textId="77777777" w:rsidR="00EF5D24" w:rsidRPr="00BB3634" w:rsidRDefault="00EF5D24" w:rsidP="000B18E5">
      <w:pPr>
        <w:pStyle w:val="NoSpacing"/>
      </w:pPr>
    </w:p>
    <w:p w14:paraId="36A36853" w14:textId="580C0C3B" w:rsidR="00D743FB" w:rsidRPr="00BB3634" w:rsidRDefault="00D743FB" w:rsidP="00FF4E15">
      <w:pPr>
        <w:pStyle w:val="Heading2"/>
        <w:numPr>
          <w:ilvl w:val="0"/>
          <w:numId w:val="32"/>
        </w:numPr>
        <w:spacing w:line="276" w:lineRule="auto"/>
        <w:ind w:left="360"/>
        <w:rPr>
          <w:rFonts w:cs="Arial"/>
        </w:rPr>
      </w:pPr>
      <w:bookmarkStart w:id="149" w:name="_Toc94360230"/>
      <w:r w:rsidRPr="00BB3634">
        <w:rPr>
          <w:rFonts w:cs="Arial"/>
        </w:rPr>
        <w:t xml:space="preserve">Specific </w:t>
      </w:r>
      <w:r w:rsidR="00D23AF9" w:rsidRPr="00BB3634">
        <w:rPr>
          <w:rFonts w:cs="Arial"/>
        </w:rPr>
        <w:t>E</w:t>
      </w:r>
      <w:r w:rsidRPr="00BB3634">
        <w:rPr>
          <w:rFonts w:cs="Arial"/>
        </w:rPr>
        <w:t>xamples</w:t>
      </w:r>
      <w:bookmarkEnd w:id="149"/>
    </w:p>
    <w:p w14:paraId="35E5F5F8" w14:textId="77777777" w:rsidR="00D743FB" w:rsidRPr="00BB3634" w:rsidRDefault="00D743FB" w:rsidP="000B18E5">
      <w:pPr>
        <w:pStyle w:val="NoSpacing"/>
      </w:pPr>
      <w:r w:rsidRPr="00BB3634">
        <w:t>The presumption against retrospectively applies in interpreting the temporal scope of that section: </w:t>
      </w:r>
      <w:r w:rsidRPr="00BB3634">
        <w:rPr>
          <w:i/>
        </w:rPr>
        <w:t>R v Hooyer, </w:t>
      </w:r>
      <w:r w:rsidRPr="00BB3634">
        <w:rPr>
          <w:u w:val="single"/>
        </w:rPr>
        <w:t>2016 ONCA 44</w:t>
      </w:r>
      <w:r w:rsidRPr="00BB3634">
        <w:t> at paras 48-49</w:t>
      </w:r>
    </w:p>
    <w:p w14:paraId="5219FF50" w14:textId="77777777" w:rsidR="00D743FB" w:rsidRPr="00BB3634" w:rsidRDefault="00D743FB" w:rsidP="000B18E5">
      <w:pPr>
        <w:pStyle w:val="NoSpacing"/>
      </w:pPr>
      <w:r w:rsidRPr="00BB3634">
        <w:rPr>
          <w:rStyle w:val="wixguard"/>
        </w:rPr>
        <w:t>​</w:t>
      </w:r>
    </w:p>
    <w:p w14:paraId="5BC391E6" w14:textId="77777777" w:rsidR="00FD0B27" w:rsidRPr="00BB3634" w:rsidRDefault="00FD0B27" w:rsidP="000B18E5">
      <w:pPr>
        <w:pStyle w:val="NoSpacing"/>
      </w:pPr>
      <w:r w:rsidRPr="00BB3634">
        <w:t xml:space="preserve">In </w:t>
      </w:r>
      <w:r w:rsidRPr="00BB3634">
        <w:rPr>
          <w:i/>
        </w:rPr>
        <w:t xml:space="preserve">Lewis, </w:t>
      </w:r>
      <w:r w:rsidRPr="00BB3634">
        <w:t xml:space="preserve">the Court of Appeal agreed with the appellants that the repeal of early parole provisions between the commission of their offences and their sentencing violated s.11(i), and those offenders were entitled to the benefit of the “lesser punishment” that is, the parole regime that included access to early parole: </w:t>
      </w:r>
      <w:r w:rsidRPr="00BB3634">
        <w:rPr>
          <w:i/>
        </w:rPr>
        <w:t>Canada (Attorney General) v. Lewis</w:t>
      </w:r>
      <w:r w:rsidRPr="00BB3634">
        <w:t>, 2015 ONCA 379</w:t>
      </w:r>
    </w:p>
    <w:p w14:paraId="78C101EA" w14:textId="77777777" w:rsidR="00FD0B27" w:rsidRPr="00BB3634" w:rsidRDefault="00FD0B27" w:rsidP="000B18E5">
      <w:pPr>
        <w:pStyle w:val="NoSpacing"/>
      </w:pPr>
    </w:p>
    <w:p w14:paraId="4A648032" w14:textId="77777777" w:rsidR="00D743FB" w:rsidRPr="00BB3634" w:rsidRDefault="00D743FB" w:rsidP="000B18E5">
      <w:pPr>
        <w:pStyle w:val="NoSpacing"/>
      </w:pPr>
      <w:r w:rsidRPr="00BB3634">
        <w:lastRenderedPageBreak/>
        <w:t>In </w:t>
      </w:r>
      <w:r w:rsidRPr="00BB3634">
        <w:rPr>
          <w:i/>
        </w:rPr>
        <w:t>R v Lalonde</w:t>
      </w:r>
      <w:r w:rsidRPr="00BB3634">
        <w:t xml:space="preserve">, </w:t>
      </w:r>
      <w:r w:rsidRPr="00BB3634">
        <w:rPr>
          <w:u w:val="single"/>
        </w:rPr>
        <w:t>2016 ONCA 923,</w:t>
      </w:r>
      <w:r w:rsidRPr="00BB3634">
        <w:t> the Court of Appeal held that the retrospective abolition of </w:t>
      </w:r>
      <w:r w:rsidRPr="00BB3634">
        <w:rPr>
          <w:i/>
        </w:rPr>
        <w:t>eligibility for </w:t>
      </w:r>
      <w:r w:rsidRPr="00BB3634">
        <w:t>accelerated parole increased the punishment on inmates and therefore violated s 11(i). </w:t>
      </w:r>
    </w:p>
    <w:p w14:paraId="03BBA535" w14:textId="77777777" w:rsidR="0096189C" w:rsidRPr="00BB3634" w:rsidRDefault="0096189C" w:rsidP="000B18E5">
      <w:pPr>
        <w:pStyle w:val="NoSpacing"/>
      </w:pPr>
    </w:p>
    <w:p w14:paraId="1A134D44" w14:textId="7D1620FB" w:rsidR="0096189C" w:rsidRPr="00BB3634" w:rsidRDefault="00FD0B27" w:rsidP="000B18E5">
      <w:pPr>
        <w:pStyle w:val="NoSpacing"/>
      </w:pPr>
      <w:r w:rsidRPr="00BB3634">
        <w:t xml:space="preserve">In </w:t>
      </w:r>
      <w:r w:rsidRPr="00BB3634">
        <w:rPr>
          <w:i/>
        </w:rPr>
        <w:t xml:space="preserve">Dell, </w:t>
      </w:r>
      <w:r w:rsidRPr="00BB3634">
        <w:t xml:space="preserve">the Ontario Court of Appeal held that the 2011 amendments to the </w:t>
      </w:r>
      <w:r w:rsidR="000D4A98" w:rsidRPr="00BB3634">
        <w:t>“</w:t>
      </w:r>
      <w:r w:rsidRPr="00BB3634">
        <w:t>faint hope clause</w:t>
      </w:r>
      <w:r w:rsidR="000D4A98" w:rsidRPr="00BB3634">
        <w:t>”</w:t>
      </w:r>
      <w:r w:rsidRPr="00BB3634">
        <w:t xml:space="preserve"> </w:t>
      </w:r>
      <w:r w:rsidR="00B05D1A" w:rsidRPr="00BB3634">
        <w:t xml:space="preserve">violate s.11(i). The faint hope clause grants </w:t>
      </w:r>
      <w:r w:rsidRPr="00BB3634">
        <w:t xml:space="preserve">the right </w:t>
      </w:r>
      <w:r w:rsidR="00B05D1A" w:rsidRPr="00BB3634">
        <w:t>to</w:t>
      </w:r>
      <w:r w:rsidRPr="00BB3634">
        <w:t xml:space="preserve"> an offender serving a murder sentence to apply after 15 years to a jury for a reduction in their parole ineligibility</w:t>
      </w:r>
      <w:r w:rsidR="00D4537C" w:rsidRPr="00BB3634">
        <w:t xml:space="preserve"> term. The 2011 amendments imposed</w:t>
      </w:r>
      <w:r w:rsidR="000D4A98" w:rsidRPr="00BB3634">
        <w:t xml:space="preserve"> a judicial screening mechanism that required judges to first determine whether the application has </w:t>
      </w:r>
      <w:r w:rsidR="00B05D1A" w:rsidRPr="00BB3634">
        <w:t xml:space="preserve">a “substantial likelihood” of success. </w:t>
      </w:r>
      <w:r w:rsidR="00D4537C" w:rsidRPr="00BB3634">
        <w:t xml:space="preserve">By removing potentially meritorious applications from consideration by a jury, the amendments were not rationally connected to the government’s objective of preventing families of murder victims from </w:t>
      </w:r>
      <w:r w:rsidR="00DC2325" w:rsidRPr="00BB3634">
        <w:t>being exposed to</w:t>
      </w:r>
      <w:r w:rsidR="00D4537C" w:rsidRPr="00BB3634">
        <w:t xml:space="preserve"> meritless </w:t>
      </w:r>
      <w:r w:rsidR="00DC2325" w:rsidRPr="00BB3634">
        <w:t xml:space="preserve">faint hope </w:t>
      </w:r>
      <w:r w:rsidR="00D4537C" w:rsidRPr="00BB3634">
        <w:t>applications</w:t>
      </w:r>
      <w:r w:rsidR="00DC2325" w:rsidRPr="00BB3634">
        <w:t>. The amendments also did not minimally impair 11(i) rights. By contrast, the 1996</w:t>
      </w:r>
      <w:r w:rsidR="00777A5F" w:rsidRPr="00BB3634">
        <w:t xml:space="preserve"> amendments, which required judges to first determine whether the application has a “reasonable prospect” of success, were upheld. </w:t>
      </w:r>
    </w:p>
    <w:p w14:paraId="09CF9E81" w14:textId="77777777" w:rsidR="0096189C" w:rsidRPr="00BB3634" w:rsidRDefault="0096189C" w:rsidP="000B18E5">
      <w:pPr>
        <w:pStyle w:val="NoSpacing"/>
      </w:pPr>
    </w:p>
    <w:p w14:paraId="0C96D9BB" w14:textId="77777777" w:rsidR="00D743FB" w:rsidRPr="00BB3634" w:rsidRDefault="00D743FB" w:rsidP="000B18E5">
      <w:pPr>
        <w:pStyle w:val="NoSpacing"/>
      </w:pPr>
    </w:p>
    <w:p w14:paraId="3824DDBC" w14:textId="1E5CEA8B" w:rsidR="00D10A2C" w:rsidRPr="00BB3634" w:rsidRDefault="009C2A75" w:rsidP="00BB3634">
      <w:pPr>
        <w:pStyle w:val="Heading1"/>
        <w:spacing w:line="276" w:lineRule="auto"/>
        <w:rPr>
          <w:sz w:val="24"/>
          <w:szCs w:val="24"/>
        </w:rPr>
      </w:pPr>
      <w:bookmarkStart w:id="150" w:name="_Toc94360231"/>
      <w:r w:rsidRPr="00BB3634">
        <w:rPr>
          <w:sz w:val="24"/>
          <w:szCs w:val="24"/>
        </w:rPr>
        <w:t>SECTION 12</w:t>
      </w:r>
      <w:bookmarkEnd w:id="150"/>
    </w:p>
    <w:p w14:paraId="795B4491" w14:textId="77777777" w:rsidR="00D10A2C" w:rsidRPr="00BB3634" w:rsidRDefault="00D10A2C" w:rsidP="00BB3634">
      <w:pPr>
        <w:spacing w:line="276" w:lineRule="auto"/>
        <w:rPr>
          <w:rFonts w:ascii="Arial" w:hAnsi="Arial" w:cs="Arial"/>
        </w:rPr>
      </w:pPr>
    </w:p>
    <w:p w14:paraId="297E7A61" w14:textId="64142702" w:rsidR="00594BE2" w:rsidRPr="00BB3634" w:rsidRDefault="00594BE2" w:rsidP="000B18E5">
      <w:pPr>
        <w:pStyle w:val="NoSpacing"/>
      </w:pPr>
      <w:r w:rsidRPr="00BB3634">
        <w:t> Section 12 of the </w:t>
      </w:r>
      <w:r w:rsidRPr="00BB3634">
        <w:rPr>
          <w:i/>
        </w:rPr>
        <w:t>Charter</w:t>
      </w:r>
      <w:r w:rsidRPr="00BB3634">
        <w:t> provides that “[e]veryone has the right not to be subjected to any cruel and unusual treatment or punishment.”</w:t>
      </w:r>
    </w:p>
    <w:p w14:paraId="757D7C0B" w14:textId="12E33846" w:rsidR="00594BE2" w:rsidRDefault="00594BE2" w:rsidP="000B18E5">
      <w:pPr>
        <w:pStyle w:val="NoSpacing"/>
      </w:pPr>
    </w:p>
    <w:p w14:paraId="31F28C94" w14:textId="0FC27C0F" w:rsidR="00663FB5" w:rsidRPr="00BB3634" w:rsidRDefault="00663FB5" w:rsidP="00E32F34">
      <w:pPr>
        <w:pStyle w:val="Heading2"/>
        <w:numPr>
          <w:ilvl w:val="0"/>
          <w:numId w:val="57"/>
        </w:numPr>
      </w:pPr>
      <w:bookmarkStart w:id="151" w:name="_Toc94360232"/>
      <w:r>
        <w:t>Gross Disproportionality in Sentencing</w:t>
      </w:r>
      <w:bookmarkEnd w:id="151"/>
    </w:p>
    <w:p w14:paraId="218FF2D9" w14:textId="77777777" w:rsidR="00663FB5" w:rsidRDefault="00663FB5" w:rsidP="000B18E5">
      <w:pPr>
        <w:pStyle w:val="NoSpacing"/>
      </w:pPr>
    </w:p>
    <w:p w14:paraId="74299A06" w14:textId="331E0419" w:rsidR="00594BE2" w:rsidRPr="00BB3634" w:rsidRDefault="00594BE2" w:rsidP="000B18E5">
      <w:pPr>
        <w:pStyle w:val="NoSpacing"/>
      </w:pPr>
      <w:r w:rsidRPr="00BB3634">
        <w:t>A mandatory minimum sentence will constitute cruel and unusual punishment under s. 12 if it is grossly disproportionate to the punishment that would be appropriate, having regard to the nature of the offence and the circumstances of the offender.</w:t>
      </w:r>
    </w:p>
    <w:p w14:paraId="04849B9F" w14:textId="77777777" w:rsidR="00594BE2" w:rsidRPr="00BB3634" w:rsidRDefault="00594BE2" w:rsidP="000B18E5">
      <w:pPr>
        <w:pStyle w:val="NoSpacing"/>
      </w:pPr>
    </w:p>
    <w:p w14:paraId="7B06E09F" w14:textId="392A03B7" w:rsidR="00594BE2" w:rsidRPr="00BB3634" w:rsidRDefault="00594BE2" w:rsidP="000B18E5">
      <w:pPr>
        <w:pStyle w:val="NoSpacing"/>
      </w:pPr>
      <w:r w:rsidRPr="00BB3634">
        <w:t>To meet the grossly disproportionate standard, the sentence must be “more than merely excessive” or “disproportionate. The sentence must be so excessive as to outrage standards of decency and be disproportionate to the extent that Canadians would find the punishment abhorrent or intolerable.</w:t>
      </w:r>
    </w:p>
    <w:p w14:paraId="37545412" w14:textId="77777777" w:rsidR="00594BE2" w:rsidRPr="00BB3634" w:rsidRDefault="00594BE2" w:rsidP="000B18E5">
      <w:pPr>
        <w:pStyle w:val="NoSpacing"/>
      </w:pPr>
    </w:p>
    <w:p w14:paraId="51E42B1F" w14:textId="24C02F9E" w:rsidR="00594BE2" w:rsidRPr="00BB3634" w:rsidRDefault="00594BE2" w:rsidP="000B18E5">
      <w:pPr>
        <w:pStyle w:val="NoSpacing"/>
      </w:pPr>
      <w:r w:rsidRPr="00BB3634">
        <w:lastRenderedPageBreak/>
        <w:t>The s. 12 analysis involves two steps. The first is to determine what constitutes a proportionate sentence for the offence having regard to the objectives and principles of sentencing under the </w:t>
      </w:r>
      <w:r w:rsidRPr="00BB3634">
        <w:rPr>
          <w:i/>
        </w:rPr>
        <w:t>Criminal Code</w:t>
      </w:r>
      <w:r w:rsidRPr="00BB3634">
        <w:t>. It is not necessary to fix the sentence or sentencing range at a specific point, but the court should consider the rough scale of the appropriate sentence.</w:t>
      </w:r>
    </w:p>
    <w:p w14:paraId="2CB48788" w14:textId="77777777" w:rsidR="00594BE2" w:rsidRPr="00BB3634" w:rsidRDefault="00594BE2" w:rsidP="000B18E5">
      <w:pPr>
        <w:pStyle w:val="NoSpacing"/>
      </w:pPr>
    </w:p>
    <w:p w14:paraId="39572BBD" w14:textId="39396FB9" w:rsidR="00594BE2" w:rsidRPr="00BB3634" w:rsidRDefault="00594BE2" w:rsidP="000B18E5">
      <w:pPr>
        <w:pStyle w:val="NoSpacing"/>
      </w:pPr>
      <w:r w:rsidRPr="00BB3634">
        <w:t>At the second step the court must ask whether, in view of the fit and proportionate sentence, the mandatory minimum sentence is grossly disproportionate to the offence and its circumstances: </w:t>
      </w:r>
      <w:r w:rsidRPr="00BB3634">
        <w:rPr>
          <w:i/>
        </w:rPr>
        <w:t>Lloyd</w:t>
      </w:r>
      <w:r w:rsidRPr="00BB3634">
        <w:t>, at para. 23. There are two stages to the gross disproportionality analysis. The first stage is to consider whether the impugned sentencing provision is grossly disproportionate in its application to the individual offender (the particularized inquiry). If a sentencing provision is not grossly disproportionate in relation to the offender before the court, the second stage is to consider whether it is grossly disproportionate when applied in “reasonably foreseeable” circumstances. Legislation should </w:t>
      </w:r>
      <w:r w:rsidRPr="00BB3634">
        <w:rPr>
          <w:i/>
        </w:rPr>
        <w:t>not</w:t>
      </w:r>
      <w:r w:rsidRPr="00BB3634">
        <w:t xml:space="preserve"> be struck down based on scenarios that would be “far-fetched”, “marginally imaginable”, or “remote:” </w:t>
      </w:r>
      <w:r w:rsidRPr="00BB3634">
        <w:rPr>
          <w:i/>
        </w:rPr>
        <w:t xml:space="preserve">R v Vu, </w:t>
      </w:r>
      <w:hyperlink r:id="rId403" w:history="1">
        <w:r w:rsidRPr="00BB3634">
          <w:rPr>
            <w:rStyle w:val="Hyperlink"/>
          </w:rPr>
          <w:t>2018 ONCA 436</w:t>
        </w:r>
      </w:hyperlink>
      <w:r w:rsidRPr="00BB3634">
        <w:t xml:space="preserve"> at paras 19-23 [citations omitted]</w:t>
      </w:r>
    </w:p>
    <w:p w14:paraId="35C0E239" w14:textId="77777777" w:rsidR="00594BE2" w:rsidRPr="00BB3634" w:rsidRDefault="00594BE2" w:rsidP="000B18E5">
      <w:pPr>
        <w:pStyle w:val="NoSpacing"/>
      </w:pPr>
    </w:p>
    <w:p w14:paraId="30FA83B2" w14:textId="77777777" w:rsidR="00594BE2" w:rsidRPr="00BB3634" w:rsidRDefault="00594BE2" w:rsidP="000B18E5">
      <w:pPr>
        <w:pStyle w:val="NoSpacing"/>
      </w:pPr>
      <w:r w:rsidRPr="00BB3634">
        <w:t xml:space="preserve">Constitutional challenges rooted in section 12 of the </w:t>
      </w:r>
      <w:r w:rsidRPr="00BB3634">
        <w:rPr>
          <w:i/>
        </w:rPr>
        <w:t xml:space="preserve">Charter </w:t>
      </w:r>
      <w:r w:rsidRPr="00BB3634">
        <w:t xml:space="preserve">can be argued on the basis of reasonable hypotheticals involving the “best offender”: </w:t>
      </w:r>
      <w:r w:rsidRPr="00BB3634">
        <w:rPr>
          <w:i/>
        </w:rPr>
        <w:t xml:space="preserve">R v Nur, </w:t>
      </w:r>
      <w:r w:rsidRPr="00BB3634">
        <w:t xml:space="preserve">2015 SCC 15; </w:t>
      </w:r>
      <w:r w:rsidRPr="00BB3634">
        <w:rPr>
          <w:i/>
        </w:rPr>
        <w:t xml:space="preserve">R v McIntyre, </w:t>
      </w:r>
      <w:hyperlink r:id="rId404" w:history="1">
        <w:r w:rsidRPr="00BB3634">
          <w:rPr>
            <w:rStyle w:val="Hyperlink"/>
          </w:rPr>
          <w:t>2018 ONCA 210</w:t>
        </w:r>
      </w:hyperlink>
      <w:r w:rsidRPr="00BB3634">
        <w:t xml:space="preserve"> at para 28</w:t>
      </w:r>
    </w:p>
    <w:p w14:paraId="55477258" w14:textId="77777777" w:rsidR="00594BE2" w:rsidRPr="00BB3634" w:rsidRDefault="00594BE2" w:rsidP="000B18E5">
      <w:pPr>
        <w:pStyle w:val="NoSpacing"/>
      </w:pPr>
    </w:p>
    <w:p w14:paraId="6035C594" w14:textId="5CAFB122" w:rsidR="00594BE2" w:rsidRPr="00BB3634" w:rsidRDefault="00594BE2" w:rsidP="000B18E5">
      <w:pPr>
        <w:pStyle w:val="NoSpacing"/>
      </w:pPr>
      <w:r w:rsidRPr="00BB3634">
        <w:t xml:space="preserve">Various factors may inform the gross disproportionality analysis, both as it applies to the particular accused and to reasonable hypotheticals. Such factors include: (i) the gravity of the offence; (ii) the personal characteristics of the offender; (iii) the particular circumstances of the case; (iv) the actual effect of the punishment on the individual; (v) the penological goals and sentencing principles reflected in the challenged mandatory minimum; (vi) the existence of valid, effective, alternatives to the mandatory minimum; and (vii) a comparison of punishments imposed for other similar crimes: </w:t>
      </w:r>
      <w:r w:rsidRPr="00BB3634">
        <w:rPr>
          <w:i/>
        </w:rPr>
        <w:t xml:space="preserve">Vu </w:t>
      </w:r>
      <w:r w:rsidRPr="00BB3634">
        <w:t>at para 24</w:t>
      </w:r>
    </w:p>
    <w:p w14:paraId="5B2B4CAD" w14:textId="27297532" w:rsidR="00BD150F" w:rsidRPr="00BB3634" w:rsidRDefault="00BD150F" w:rsidP="000B18E5">
      <w:pPr>
        <w:pStyle w:val="NoSpacing"/>
      </w:pPr>
    </w:p>
    <w:p w14:paraId="49E96DD9" w14:textId="373D9E61" w:rsidR="00BD150F" w:rsidRPr="00BB3634" w:rsidRDefault="00BD150F" w:rsidP="000B18E5">
      <w:pPr>
        <w:pStyle w:val="NoSpacing"/>
      </w:pPr>
      <w:r w:rsidRPr="00BB3634">
        <w:t xml:space="preserve">A court’s conclusion based on its review of the provision’s reasonably foreseeable applications does not foreclose consideration in future of different reasonable applications: </w:t>
      </w:r>
      <w:r w:rsidRPr="00BB3634">
        <w:rPr>
          <w:i/>
        </w:rPr>
        <w:t xml:space="preserve">R v Nur, </w:t>
      </w:r>
      <w:r w:rsidRPr="00BB3634">
        <w:t xml:space="preserve">2015 SCC 15, at para 71; see also </w:t>
      </w:r>
      <w:r w:rsidRPr="00BB3634">
        <w:rPr>
          <w:i/>
        </w:rPr>
        <w:t xml:space="preserve">R v Plange, </w:t>
      </w:r>
      <w:hyperlink r:id="rId405" w:history="1">
        <w:r w:rsidRPr="00BB3634">
          <w:rPr>
            <w:rStyle w:val="Hyperlink"/>
          </w:rPr>
          <w:t>2019 ONCA 646</w:t>
        </w:r>
      </w:hyperlink>
      <w:r w:rsidRPr="00BB3634">
        <w:t>, at paras 37-38</w:t>
      </w:r>
    </w:p>
    <w:p w14:paraId="3F439F59" w14:textId="77777777" w:rsidR="00D10A2C" w:rsidRPr="00BB3634" w:rsidRDefault="00D10A2C" w:rsidP="000B18E5">
      <w:pPr>
        <w:pStyle w:val="NoSpacing"/>
      </w:pPr>
    </w:p>
    <w:p w14:paraId="2044F905" w14:textId="7BAE1C12" w:rsidR="00D10A2C" w:rsidRPr="00BB3634" w:rsidRDefault="00D10A2C" w:rsidP="000B18E5">
      <w:pPr>
        <w:pStyle w:val="NoSpacing"/>
      </w:pPr>
      <w:r w:rsidRPr="00BB3634">
        <w:t>Mandatory minimum sentences affect the range of sentence, ceating an “inflationary floor” that that sets a new minimum punishment applicable to the best offender.</w:t>
      </w:r>
    </w:p>
    <w:p w14:paraId="1111E692" w14:textId="77777777" w:rsidR="00D10A2C" w:rsidRPr="00BB3634" w:rsidRDefault="00D10A2C" w:rsidP="000B18E5">
      <w:pPr>
        <w:pStyle w:val="NoSpacing"/>
      </w:pPr>
    </w:p>
    <w:p w14:paraId="3DE46886" w14:textId="77777777" w:rsidR="00D10A2C" w:rsidRPr="00BB3634" w:rsidRDefault="00D10A2C" w:rsidP="000B18E5">
      <w:pPr>
        <w:pStyle w:val="NoSpacing"/>
      </w:pPr>
      <w:r w:rsidRPr="00BB3634">
        <w:t xml:space="preserve">The effect of the inflationary floor is that because the “best offender” must receive the minimum sentence, which may be a higher sentence than the one that would have been given without the minimum, the sentences for more culpable offenders are increased as well, so that the whole range increases. The cases referred to above all reflect that effect. </w:t>
      </w:r>
    </w:p>
    <w:p w14:paraId="1BB4385C" w14:textId="77777777" w:rsidR="002C1510" w:rsidRPr="00BB3634" w:rsidRDefault="002C1510" w:rsidP="000B18E5">
      <w:pPr>
        <w:pStyle w:val="NoSpacing"/>
      </w:pPr>
    </w:p>
    <w:p w14:paraId="76851D60" w14:textId="2A64386A" w:rsidR="00D10A2C" w:rsidRDefault="00D10A2C" w:rsidP="000B18E5">
      <w:pPr>
        <w:pStyle w:val="NoSpacing"/>
      </w:pPr>
      <w:r w:rsidRPr="00BB3634">
        <w:t xml:space="preserve">As a result, where a mandatory minimum sentence has been ruled unconstitutional, </w:t>
      </w:r>
      <w:r w:rsidR="002C1510" w:rsidRPr="00BB3634">
        <w:t xml:space="preserve">a trial judge who is determining a fit sentence can give less weight to sentences imposed when the mandatory minimum sentence was in effect: </w:t>
      </w:r>
      <w:r w:rsidR="002C1510" w:rsidRPr="00BB3634">
        <w:rPr>
          <w:i/>
        </w:rPr>
        <w:t xml:space="preserve">R v Delchev, </w:t>
      </w:r>
      <w:hyperlink r:id="rId406" w:history="1">
        <w:r w:rsidR="002C1510" w:rsidRPr="00BB3634">
          <w:rPr>
            <w:rStyle w:val="Hyperlink"/>
          </w:rPr>
          <w:t>2014 ONCA 448</w:t>
        </w:r>
      </w:hyperlink>
      <w:r w:rsidR="002C1510" w:rsidRPr="00BB3634">
        <w:t xml:space="preserve"> at paras 18-19</w:t>
      </w:r>
    </w:p>
    <w:p w14:paraId="61D4FC38" w14:textId="42DCD5A6" w:rsidR="00663FB5" w:rsidRDefault="00663FB5" w:rsidP="000B18E5">
      <w:pPr>
        <w:pStyle w:val="NoSpacing"/>
      </w:pPr>
    </w:p>
    <w:p w14:paraId="2CFD0AF6" w14:textId="087B7FD9" w:rsidR="00663FB5" w:rsidRDefault="00663FB5" w:rsidP="00663FB5">
      <w:pPr>
        <w:pStyle w:val="Heading2"/>
      </w:pPr>
      <w:bookmarkStart w:id="152" w:name="_Toc94360233"/>
      <w:r>
        <w:t>Excessive Use of Force</w:t>
      </w:r>
      <w:bookmarkEnd w:id="152"/>
    </w:p>
    <w:p w14:paraId="04E45C83" w14:textId="47BDB54D" w:rsidR="00663FB5" w:rsidRDefault="00663FB5" w:rsidP="00663FB5">
      <w:pPr>
        <w:rPr>
          <w:lang w:val="en-US"/>
        </w:rPr>
      </w:pPr>
    </w:p>
    <w:p w14:paraId="5CD388E1" w14:textId="4314DA2C" w:rsidR="00663FB5" w:rsidRPr="00403697" w:rsidRDefault="00663FB5" w:rsidP="00663FB5">
      <w:pPr>
        <w:pStyle w:val="NoSpacing"/>
      </w:pPr>
      <w:bookmarkStart w:id="153" w:name="_Hlk85204094"/>
      <w:r>
        <w:t>A</w:t>
      </w:r>
      <w:r w:rsidRPr="00663FB5">
        <w:t>n accused only has the burden of demonstrating that a </w:t>
      </w:r>
      <w:r w:rsidRPr="00663FB5">
        <w:rPr>
          <w:i/>
        </w:rPr>
        <w:t>Charter</w:t>
      </w:r>
      <w:r w:rsidRPr="00663FB5">
        <w:t> remedy should be granted</w:t>
      </w:r>
      <w:bookmarkEnd w:id="153"/>
      <w:r w:rsidRPr="00663FB5">
        <w:t>. The accused does not have the burden of showing that excessive force was used. Rather, once an accused shows that the police used deadly force, a </w:t>
      </w:r>
      <w:r w:rsidRPr="00663FB5">
        <w:rPr>
          <w:i/>
        </w:rPr>
        <w:t>prima facie</w:t>
      </w:r>
      <w:r w:rsidRPr="00663FB5">
        <w:t> breach of s. 7 exists, and the evidentiary burden shifts to the Crown to prove the force used was justified. This requires a subjective-objective analysis. The court has to be satisfied that the police officer subjectively believed that the use of force was necessary in the circumstances to protect the officer or others from death or grievous bodily harm, and the belief must have been objectively reasonable: </w:t>
      </w:r>
      <w:r>
        <w:rPr>
          <w:i/>
          <w:iCs w:val="0"/>
        </w:rPr>
        <w:t xml:space="preserve">R v </w:t>
      </w:r>
      <w:r w:rsidR="00403697">
        <w:rPr>
          <w:i/>
          <w:iCs w:val="0"/>
        </w:rPr>
        <w:t xml:space="preserve">Davis, </w:t>
      </w:r>
      <w:hyperlink r:id="rId407" w:anchor="_ftnref4" w:history="1">
        <w:r w:rsidR="00403697" w:rsidRPr="00403697">
          <w:rPr>
            <w:rStyle w:val="Hyperlink"/>
          </w:rPr>
          <w:t>2021 ONCA 758</w:t>
        </w:r>
      </w:hyperlink>
      <w:r w:rsidR="00403697">
        <w:t>, at para 61</w:t>
      </w:r>
    </w:p>
    <w:p w14:paraId="3D3B7BF3" w14:textId="77777777" w:rsidR="00973013" w:rsidRPr="00BB3634" w:rsidRDefault="00973013" w:rsidP="000B18E5">
      <w:pPr>
        <w:pStyle w:val="NoSpacing"/>
      </w:pPr>
    </w:p>
    <w:p w14:paraId="2E0EDCF0" w14:textId="008234C9" w:rsidR="00973013" w:rsidRPr="00BB3634" w:rsidRDefault="009C2A75" w:rsidP="00BB3634">
      <w:pPr>
        <w:pStyle w:val="Heading1"/>
        <w:spacing w:line="276" w:lineRule="auto"/>
        <w:rPr>
          <w:sz w:val="24"/>
          <w:szCs w:val="24"/>
        </w:rPr>
      </w:pPr>
      <w:bookmarkStart w:id="154" w:name="_Toc94360234"/>
      <w:r w:rsidRPr="00BB3634">
        <w:rPr>
          <w:sz w:val="24"/>
          <w:szCs w:val="24"/>
        </w:rPr>
        <w:t>SECTION 13</w:t>
      </w:r>
      <w:bookmarkEnd w:id="154"/>
    </w:p>
    <w:p w14:paraId="5AB9604D" w14:textId="77777777" w:rsidR="00F65ABE" w:rsidRPr="00BB3634" w:rsidRDefault="00F65ABE" w:rsidP="000B18E5">
      <w:pPr>
        <w:pStyle w:val="NoSpacing"/>
      </w:pPr>
    </w:p>
    <w:p w14:paraId="2BFDADE0" w14:textId="3DA1F277" w:rsidR="00F65ABE" w:rsidRPr="00BB3634" w:rsidRDefault="00F65ABE" w:rsidP="000B18E5">
      <w:pPr>
        <w:pStyle w:val="NoSpacing"/>
      </w:pPr>
      <w:r w:rsidRPr="00BB3634">
        <w:t>To invoke s. 13 of the Charter , it must be shown, first, that the testimony in question was compelled; and, secondly, that this testimony is incriminating. The term "incriminating testimony" refers to testimony that may be used by the state, directly or indirectly, “to demonstrate the guilt of the witness, that is, to prove or assist prove one or more of the constituent elements of the alleged offense of the witness at his subsequent trial.”</w:t>
      </w:r>
    </w:p>
    <w:p w14:paraId="7788C989" w14:textId="77777777" w:rsidR="00F65ABE" w:rsidRPr="00BB3634" w:rsidRDefault="00F65ABE" w:rsidP="000B18E5">
      <w:pPr>
        <w:pStyle w:val="NoSpacing"/>
      </w:pPr>
    </w:p>
    <w:p w14:paraId="1DCCC116" w14:textId="77777777" w:rsidR="00F65ABE" w:rsidRPr="00BB3634" w:rsidRDefault="00F65ABE" w:rsidP="000B18E5">
      <w:pPr>
        <w:pStyle w:val="NoSpacing"/>
      </w:pPr>
      <w:r w:rsidRPr="00BB3634">
        <w:t xml:space="preserve">An "incriminating testimony" includes an earlier testimony that may appear innocuous in itself, but that would become incriminating thereafter. For example, </w:t>
      </w:r>
      <w:r w:rsidRPr="00BB3634">
        <w:lastRenderedPageBreak/>
        <w:t>the state may use testimony in later proceedings to prove the fabrication of the original testimony made "with the deliberate intent to deceive the court and to impede the course of justice". This "would demonstrate the conscience of guilt, from which the trier of fact could, if he so chose, infer the guilt" of the accused</w:t>
      </w:r>
    </w:p>
    <w:p w14:paraId="3E04292A" w14:textId="3E715B6A" w:rsidR="00F65ABE" w:rsidRPr="00BB3634" w:rsidRDefault="00F65ABE" w:rsidP="000B18E5">
      <w:pPr>
        <w:pStyle w:val="NoSpacing"/>
      </w:pPr>
      <w:r w:rsidRPr="00BB3634">
        <w:t> </w:t>
      </w:r>
    </w:p>
    <w:p w14:paraId="40AC1257" w14:textId="00F9FDE9" w:rsidR="00F65ABE" w:rsidRPr="00BB3634" w:rsidRDefault="00F65ABE" w:rsidP="000B18E5">
      <w:pPr>
        <w:pStyle w:val="NoSpacing"/>
      </w:pPr>
      <w:r w:rsidRPr="00BB3634">
        <w:t xml:space="preserve">If the initial testimony of a witness is incriminating, the state may not subsequently use it in other proceedings, nor to cross-examine him as to his credibility or the incrimination. The only exception is prosecution for perjury or contradictory testimony: </w:t>
      </w:r>
      <w:r w:rsidRPr="00BB3634">
        <w:rPr>
          <w:i/>
        </w:rPr>
        <w:t xml:space="preserve">R v Lauzon, </w:t>
      </w:r>
      <w:hyperlink r:id="rId408" w:history="1">
        <w:r w:rsidRPr="00BB3634">
          <w:rPr>
            <w:rStyle w:val="Hyperlink"/>
          </w:rPr>
          <w:t>2019 ONCA 546</w:t>
        </w:r>
      </w:hyperlink>
      <w:r w:rsidRPr="00BB3634">
        <w:t>, at paras 6-9</w:t>
      </w:r>
    </w:p>
    <w:p w14:paraId="4C4E0FE5" w14:textId="77777777" w:rsidR="00F65ABE" w:rsidRPr="00BB3634" w:rsidRDefault="00F65ABE" w:rsidP="000B18E5">
      <w:pPr>
        <w:pStyle w:val="NoSpacing"/>
      </w:pPr>
    </w:p>
    <w:p w14:paraId="77333528" w14:textId="14B058DF" w:rsidR="00973013" w:rsidRPr="00BB3634" w:rsidRDefault="00973013" w:rsidP="000B18E5">
      <w:pPr>
        <w:pStyle w:val="NoSpacing"/>
      </w:pPr>
      <w:r w:rsidRPr="00BB3634">
        <w:t>In </w:t>
      </w:r>
      <w:r w:rsidRPr="00BB3634">
        <w:rPr>
          <w:i/>
        </w:rPr>
        <w:t>White</w:t>
      </w:r>
      <w:r w:rsidRPr="00BB3634">
        <w:t>, [1999] 2 S.C.R. 417 at para. 67, the Supreme Court held that where a driver is statutorily compelled to make a statement for highway traffic purposes, the driver is entitled to use immunity in criminal proceedings in relation to the contents of that statement. The court set out the test for determining whether a statement is statutorily compelled. The court also held, at para. 89, that statutorily compelled statements are to be automatically excluded from evidence under s. 24(1) of the </w:t>
      </w:r>
      <w:r w:rsidRPr="00BB3634">
        <w:rPr>
          <w:i/>
        </w:rPr>
        <w:t>Charter</w:t>
      </w:r>
      <w:r w:rsidRPr="00BB3634">
        <w:t xml:space="preserve">: </w:t>
      </w:r>
      <w:r w:rsidRPr="00BB3634">
        <w:rPr>
          <w:i/>
        </w:rPr>
        <w:t xml:space="preserve">R v Roberts, </w:t>
      </w:r>
      <w:hyperlink r:id="rId409" w:history="1">
        <w:r w:rsidRPr="00BB3634">
          <w:rPr>
            <w:rStyle w:val="Hyperlink"/>
            <w:rFonts w:eastAsiaTheme="minorEastAsia"/>
          </w:rPr>
          <w:t>2018 ONCA 411</w:t>
        </w:r>
      </w:hyperlink>
      <w:r w:rsidRPr="00BB3634">
        <w:t xml:space="preserve"> at para 37 </w:t>
      </w:r>
    </w:p>
    <w:p w14:paraId="0A6DCC0E" w14:textId="77777777" w:rsidR="00973013" w:rsidRPr="00BB3634" w:rsidRDefault="00973013" w:rsidP="000B18E5">
      <w:pPr>
        <w:pStyle w:val="NoSpacing"/>
      </w:pPr>
    </w:p>
    <w:p w14:paraId="1005D708" w14:textId="25C5BAC3" w:rsidR="00973013" w:rsidRPr="00BB3634" w:rsidRDefault="00973013" w:rsidP="000B18E5">
      <w:pPr>
        <w:pStyle w:val="NoSpacing"/>
      </w:pPr>
      <w:r w:rsidRPr="00BB3634">
        <w:t xml:space="preserve">Note that, although drivers in general know that they have a duty to report an accident and that they have to ‘talk to the police’ about it, this proposition of common sense is not a legal rule that creates a presumption of statutory compulsion: </w:t>
      </w:r>
      <w:r w:rsidRPr="00BB3634">
        <w:rPr>
          <w:i/>
        </w:rPr>
        <w:t xml:space="preserve">Roberts </w:t>
      </w:r>
      <w:r w:rsidRPr="00BB3634">
        <w:t>at para 55</w:t>
      </w:r>
    </w:p>
    <w:p w14:paraId="4B170727" w14:textId="77777777" w:rsidR="00973013" w:rsidRPr="00BB3634" w:rsidRDefault="00973013" w:rsidP="000B18E5">
      <w:pPr>
        <w:pStyle w:val="NoSpacing"/>
      </w:pPr>
    </w:p>
    <w:p w14:paraId="5404CB46" w14:textId="54192815" w:rsidR="00D10A2C" w:rsidRPr="00BB3634" w:rsidRDefault="00973013" w:rsidP="000B18E5">
      <w:pPr>
        <w:pStyle w:val="NoSpacing"/>
      </w:pPr>
      <w:r w:rsidRPr="00BB3634">
        <w:t>Further, s. 7 prevents statutorily compelled statements from being used for any purpose in a criminal trial, including during a </w:t>
      </w:r>
      <w:r w:rsidRPr="00BB3634">
        <w:rPr>
          <w:i/>
        </w:rPr>
        <w:t>Charter voir dire</w:t>
      </w:r>
      <w:r w:rsidRPr="00BB3634">
        <w:t xml:space="preserve"> to establish whether an officer had reasonable and probable grounds to arrest the subject: </w:t>
      </w:r>
      <w:r w:rsidRPr="00BB3634">
        <w:rPr>
          <w:i/>
        </w:rPr>
        <w:t xml:space="preserve">Roberts </w:t>
      </w:r>
      <w:r w:rsidRPr="00BB3634">
        <w:t xml:space="preserve">at para 39; </w:t>
      </w:r>
      <w:r w:rsidRPr="00BB3634">
        <w:rPr>
          <w:i/>
        </w:rPr>
        <w:t>R. v. Soules</w:t>
      </w:r>
      <w:r w:rsidRPr="00BB3634">
        <w:t>, 2011 ONCA 429.</w:t>
      </w:r>
    </w:p>
    <w:p w14:paraId="73D50891" w14:textId="4EB69A43" w:rsidR="002B5DE3" w:rsidRDefault="002B5DE3" w:rsidP="000B18E5">
      <w:pPr>
        <w:pStyle w:val="NoSpacing"/>
      </w:pPr>
    </w:p>
    <w:p w14:paraId="75D2D12D" w14:textId="713FF64D" w:rsidR="002B5DE3" w:rsidRPr="002B5DE3" w:rsidRDefault="002B5DE3" w:rsidP="002B5DE3">
      <w:pPr>
        <w:pStyle w:val="NoSpacing"/>
      </w:pPr>
      <w:r w:rsidRPr="002B5DE3">
        <w:t>The Crown cannot use the fact that a witness has “invoked” the protection of s. 13 of the </w:t>
      </w:r>
      <w:r w:rsidRPr="002B5DE3">
        <w:rPr>
          <w:i/>
        </w:rPr>
        <w:t>Charter</w:t>
      </w:r>
      <w:r w:rsidRPr="002B5DE3">
        <w:t> or s. 5 of the </w:t>
      </w:r>
      <w:r w:rsidRPr="002B5DE3">
        <w:rPr>
          <w:i/>
        </w:rPr>
        <w:t>Canada Evidence Act</w:t>
      </w:r>
      <w:r w:rsidRPr="002B5DE3">
        <w:t xml:space="preserve"> to discredit the testimony of that witness. Nor can a witness be cross-examined about his or her understanding of the rights and protections afforded by s. 13 or s. 5. Finally, a trial judge cannot discredit a witness’s evidence because the witness was aware of the protections afforded to the witness by s. 13 and s. 5 when the witness testified: </w:t>
      </w:r>
      <w:r>
        <w:rPr>
          <w:i/>
          <w:iCs w:val="0"/>
        </w:rPr>
        <w:t xml:space="preserve">R v Morgan, </w:t>
      </w:r>
      <w:hyperlink r:id="rId410" w:history="1">
        <w:r w:rsidRPr="002B5DE3">
          <w:rPr>
            <w:rStyle w:val="Hyperlink"/>
          </w:rPr>
          <w:t>2021 ONCA 812</w:t>
        </w:r>
      </w:hyperlink>
      <w:r>
        <w:t>, at para 6</w:t>
      </w:r>
    </w:p>
    <w:p w14:paraId="33AF99DE" w14:textId="3DD8ECD2" w:rsidR="002B5DE3" w:rsidRDefault="002B5DE3" w:rsidP="002B5DE3"/>
    <w:p w14:paraId="46021014" w14:textId="55D87FBF" w:rsidR="002B5DE3" w:rsidRPr="002B5DE3" w:rsidRDefault="002B5DE3" w:rsidP="00B61865">
      <w:pPr>
        <w:pStyle w:val="NoSpacing"/>
      </w:pPr>
      <w:r>
        <w:t xml:space="preserve">In </w:t>
      </w:r>
      <w:r>
        <w:rPr>
          <w:i/>
        </w:rPr>
        <w:t xml:space="preserve">Morgan, </w:t>
      </w:r>
      <w:r>
        <w:t xml:space="preserve">the Ontario Court of Appeal noted an important nuance to this jurisprudence. In that case, a defence witness testified and claimed responsibility for the drugs in issue. In doing so, he stated that he was coming forward for the noble purpose of ensuring that the accused did not wrongly go to jail for something he was responsible for. In cross-examination, the Crown probed this </w:t>
      </w:r>
      <w:r>
        <w:lastRenderedPageBreak/>
        <w:t xml:space="preserve">answer, confirming </w:t>
      </w:r>
      <w:r w:rsidR="00B61865">
        <w:t xml:space="preserve">that he agreed to come forward because he knew he was protected (under s.13). The Court found that it was proper for the Crown to cross-examine the witness on his motives for coming forward, which could lead the trier of fact to conclude that he was not being frank and honest when he originally claimed that he only came forward for the noble goal of taking responsibility for the drugs. The Court further held that the trial judge’s reliance on this evidence to conclude that the witness was not credible or reliable in this regard was permissible. The Court noted that the trial judge use of the evidence “went no further than that:”  </w:t>
      </w:r>
      <w:r w:rsidR="00B61865">
        <w:rPr>
          <w:i/>
          <w:iCs w:val="0"/>
        </w:rPr>
        <w:t xml:space="preserve">R v Morgan, </w:t>
      </w:r>
      <w:hyperlink r:id="rId411" w:history="1">
        <w:r w:rsidR="00B61865" w:rsidRPr="002B5DE3">
          <w:rPr>
            <w:rStyle w:val="Hyperlink"/>
          </w:rPr>
          <w:t>2021 ONCA 812</w:t>
        </w:r>
      </w:hyperlink>
      <w:r w:rsidR="00B61865">
        <w:t xml:space="preserve">, at paras 4-17 </w:t>
      </w:r>
    </w:p>
    <w:p w14:paraId="4E48D248" w14:textId="77777777" w:rsidR="002B5DE3" w:rsidRPr="00BB3634" w:rsidRDefault="002B5DE3" w:rsidP="000B18E5">
      <w:pPr>
        <w:pStyle w:val="NoSpacing"/>
      </w:pPr>
    </w:p>
    <w:p w14:paraId="52217F01" w14:textId="0EBBEBF9" w:rsidR="00894D38" w:rsidRPr="00BB3634" w:rsidRDefault="00545D27" w:rsidP="000B18E5">
      <w:pPr>
        <w:pStyle w:val="NoSpacing"/>
      </w:pPr>
      <w:r w:rsidRPr="00BB3634">
        <w:t> Lawfully obtained evidence conscripted from a detainee through roadside sobriety testing is admissible to establish grounds for an arrest or detention, but such evidence is not admissible as proof of actual alcohol consumption or impairment. According to the law of Ontario, evidence is conscripted in the relevant sense only if the act directed by the officer is, itself, a sobriety test.</w:t>
      </w:r>
      <w:r w:rsidR="00894D38" w:rsidRPr="00BB3634">
        <w:t xml:space="preserve"> If an officer directs a motorist to get out of the car not as a sobriety test, but to facilitate further investigation, including gathering other information about sobriety through questioning once the driver is outside of the car, observations made of the motorist while exiting the car are admissible at trial to prove impairment.</w:t>
      </w:r>
    </w:p>
    <w:p w14:paraId="20B419EC" w14:textId="5DDCB1EC" w:rsidR="00545D27" w:rsidRPr="00BB3634" w:rsidRDefault="00545D27" w:rsidP="000B18E5">
      <w:pPr>
        <w:pStyle w:val="NoSpacing"/>
      </w:pPr>
    </w:p>
    <w:p w14:paraId="127E0E7B" w14:textId="77777777" w:rsidR="00545D27" w:rsidRPr="00BB3634" w:rsidRDefault="00545D27" w:rsidP="000B18E5">
      <w:pPr>
        <w:pStyle w:val="NoSpacing"/>
      </w:pPr>
    </w:p>
    <w:p w14:paraId="385328C2" w14:textId="6B93C8AC" w:rsidR="00545D27" w:rsidRDefault="00545D27" w:rsidP="000B18E5">
      <w:pPr>
        <w:pStyle w:val="NoSpacing"/>
      </w:pPr>
      <w:r w:rsidRPr="00BB3634">
        <w:t>Sobriety testing is not confined to the physical co-ordination tests prescribed by regulation as contemplated by s. 254(2)(a) of the </w:t>
      </w:r>
      <w:r w:rsidRPr="00BB3634">
        <w:rPr>
          <w:i/>
        </w:rPr>
        <w:t>Criminal Code</w:t>
      </w:r>
      <w:r w:rsidRPr="00BB3634">
        <w:t xml:space="preserve">. Sobriety testing can include questions asked about alcohol consumption, directions to detainees to perform physical challenges not provided for in s. 254(2)(a) such as informal co-ordination tests, or directions to exit a motor vehicle, or directions to blow into the face of an officer: </w:t>
      </w:r>
      <w:r w:rsidRPr="00BB3634">
        <w:rPr>
          <w:i/>
        </w:rPr>
        <w:t xml:space="preserve">R v Roberts, </w:t>
      </w:r>
      <w:hyperlink r:id="rId412" w:history="1">
        <w:r w:rsidRPr="00BB3634">
          <w:rPr>
            <w:rStyle w:val="Hyperlink"/>
          </w:rPr>
          <w:t>2018 ONCA 411</w:t>
        </w:r>
      </w:hyperlink>
      <w:r w:rsidRPr="00BB3634">
        <w:t xml:space="preserve"> at paras 82-83</w:t>
      </w:r>
      <w:r w:rsidR="00894D38" w:rsidRPr="00BB3634">
        <w:t>, 88, 91, 93</w:t>
      </w:r>
    </w:p>
    <w:p w14:paraId="054733DA" w14:textId="77777777" w:rsidR="00D10A2C" w:rsidRPr="00BB3634" w:rsidRDefault="00D10A2C" w:rsidP="00BB3634">
      <w:pPr>
        <w:spacing w:line="276" w:lineRule="auto"/>
        <w:rPr>
          <w:rFonts w:ascii="Arial" w:hAnsi="Arial" w:cs="Arial"/>
        </w:rPr>
      </w:pPr>
    </w:p>
    <w:p w14:paraId="2BCF6625" w14:textId="05A111F9" w:rsidR="00D743FB" w:rsidRPr="00BB3634" w:rsidRDefault="009C2A75" w:rsidP="00BB3634">
      <w:pPr>
        <w:pStyle w:val="Heading1"/>
        <w:spacing w:line="276" w:lineRule="auto"/>
        <w:rPr>
          <w:sz w:val="24"/>
          <w:szCs w:val="24"/>
        </w:rPr>
      </w:pPr>
      <w:r w:rsidRPr="00BB3634">
        <w:rPr>
          <w:sz w:val="24"/>
          <w:szCs w:val="24"/>
        </w:rPr>
        <w:t> </w:t>
      </w:r>
      <w:bookmarkStart w:id="155" w:name="_Toc94360235"/>
      <w:r w:rsidRPr="00BB3634">
        <w:rPr>
          <w:sz w:val="24"/>
          <w:szCs w:val="24"/>
        </w:rPr>
        <w:t>SECTION 14</w:t>
      </w:r>
      <w:bookmarkEnd w:id="155"/>
      <w:r w:rsidRPr="00BB3634">
        <w:rPr>
          <w:sz w:val="24"/>
          <w:szCs w:val="24"/>
        </w:rPr>
        <w:t> </w:t>
      </w:r>
    </w:p>
    <w:p w14:paraId="5E80ACC7" w14:textId="35DDB311" w:rsidR="00D743FB" w:rsidRPr="00BB3634" w:rsidRDefault="00D743FB" w:rsidP="00BB3634">
      <w:pPr>
        <w:pStyle w:val="Heading2"/>
        <w:numPr>
          <w:ilvl w:val="0"/>
          <w:numId w:val="17"/>
        </w:numPr>
        <w:spacing w:line="276" w:lineRule="auto"/>
        <w:rPr>
          <w:rFonts w:cs="Arial"/>
        </w:rPr>
      </w:pPr>
      <w:bookmarkStart w:id="156" w:name="_Toc94360236"/>
      <w:r w:rsidRPr="00BB3634">
        <w:rPr>
          <w:rFonts w:cs="Arial"/>
        </w:rPr>
        <w:t>General Principles</w:t>
      </w:r>
      <w:bookmarkEnd w:id="156"/>
    </w:p>
    <w:p w14:paraId="16232869" w14:textId="6C6CF942" w:rsidR="001920E8" w:rsidRPr="001920E8" w:rsidRDefault="001920E8" w:rsidP="000B18E5">
      <w:pPr>
        <w:pStyle w:val="NoSpacing"/>
      </w:pPr>
      <w:r w:rsidRPr="001920E8">
        <w:t>An interpreter’s failure to properly interpret key evidence may amount to trial unfairness and may give rise to a breach of an accused’s right to an interpreter under s. 14</w:t>
      </w:r>
      <w:r>
        <w:t xml:space="preserve">: </w:t>
      </w:r>
      <w:r>
        <w:rPr>
          <w:i/>
        </w:rPr>
        <w:t xml:space="preserve">R v He, </w:t>
      </w:r>
      <w:hyperlink r:id="rId413" w:history="1">
        <w:r w:rsidRPr="001920E8">
          <w:rPr>
            <w:rStyle w:val="Hyperlink"/>
          </w:rPr>
          <w:t>2021 ONCA 240</w:t>
        </w:r>
      </w:hyperlink>
      <w:r>
        <w:t>, at para 20</w:t>
      </w:r>
    </w:p>
    <w:p w14:paraId="5D00EA51" w14:textId="77777777" w:rsidR="001920E8" w:rsidRDefault="001920E8" w:rsidP="000B18E5">
      <w:pPr>
        <w:pStyle w:val="NoSpacing"/>
      </w:pPr>
    </w:p>
    <w:p w14:paraId="097133E6" w14:textId="5DD2046E" w:rsidR="00D743FB" w:rsidRPr="00BB3634" w:rsidRDefault="00D743FB" w:rsidP="000B18E5">
      <w:pPr>
        <w:pStyle w:val="NoSpacing"/>
      </w:pPr>
      <w:r w:rsidRPr="00BB3634">
        <w:lastRenderedPageBreak/>
        <w:t>To establish a violation of s. 14, the appellant must demonstrate, on a balance of probabilities, that he was actually in need of such assistance at trial – i.e., that he did not understand or speak the language being used in court: </w:t>
      </w:r>
      <w:r w:rsidRPr="00BB3634">
        <w:rPr>
          <w:i/>
        </w:rPr>
        <w:t>R v Chica, </w:t>
      </w:r>
      <w:hyperlink r:id="rId414" w:tgtFrame="_blank" w:history="1">
        <w:r w:rsidRPr="00BB3634">
          <w:rPr>
            <w:rStyle w:val="Hyperlink"/>
            <w:bCs w:val="0"/>
            <w:color w:val="auto"/>
          </w:rPr>
          <w:t>2016 ONCA 252</w:t>
        </w:r>
      </w:hyperlink>
      <w:hyperlink r:id="rId415" w:tgtFrame="_blank" w:history="1">
        <w:r w:rsidRPr="00BB3634">
          <w:rPr>
            <w:rStyle w:val="Hyperlink"/>
            <w:bCs w:val="0"/>
            <w:color w:val="auto"/>
          </w:rPr>
          <w:t> </w:t>
        </w:r>
      </w:hyperlink>
      <w:r w:rsidRPr="00BB3634">
        <w:t>at para 26</w:t>
      </w:r>
    </w:p>
    <w:p w14:paraId="56E0BDB8" w14:textId="77777777" w:rsidR="00D743FB" w:rsidRPr="00BB3634" w:rsidRDefault="00D743FB" w:rsidP="000B18E5">
      <w:pPr>
        <w:pStyle w:val="NoSpacing"/>
      </w:pPr>
      <w:r w:rsidRPr="00BB3634">
        <w:rPr>
          <w:rStyle w:val="wixguard"/>
        </w:rPr>
        <w:t>​</w:t>
      </w:r>
    </w:p>
    <w:p w14:paraId="06DB1A68" w14:textId="15EF8C3E" w:rsidR="00D743FB" w:rsidRDefault="00D743FB" w:rsidP="000B18E5">
      <w:pPr>
        <w:pStyle w:val="NoSpacing"/>
      </w:pPr>
      <w:r w:rsidRPr="00BB3634">
        <w:t>An Accused's s. 14 Charter rights do not depend on his having asserted the right to interpreter assistance. Nonetheless, the timing of his interpreter complaint may undermine his assertion that he needs such assistance to properly comprehend the evidence or defend himself at trial. This is particularly so if the issue is raised for the first time on appeal: </w:t>
      </w:r>
      <w:r w:rsidRPr="00BB3634">
        <w:rPr>
          <w:i/>
        </w:rPr>
        <w:t>Chica </w:t>
      </w:r>
      <w:r w:rsidRPr="00BB3634">
        <w:t>at para 34</w:t>
      </w:r>
    </w:p>
    <w:p w14:paraId="21E3D787" w14:textId="3CD027F1" w:rsidR="001920E8" w:rsidRDefault="001920E8" w:rsidP="000B18E5">
      <w:pPr>
        <w:pStyle w:val="NoSpacing"/>
      </w:pPr>
    </w:p>
    <w:p w14:paraId="1899107C" w14:textId="77777777" w:rsidR="001920E8" w:rsidRPr="00BB3634" w:rsidRDefault="001920E8" w:rsidP="000B18E5">
      <w:pPr>
        <w:pStyle w:val="NoSpacing"/>
      </w:pPr>
    </w:p>
    <w:p w14:paraId="32BFD564" w14:textId="02EB5311" w:rsidR="00D743FB" w:rsidRPr="00BB3634" w:rsidRDefault="00D743FB" w:rsidP="000B18E5">
      <w:pPr>
        <w:pStyle w:val="NoSpacing"/>
      </w:pPr>
      <w:r w:rsidRPr="00BB3634">
        <w:rPr>
          <w:rStyle w:val="wixguard"/>
          <w:b/>
          <w:bCs w:val="0"/>
        </w:rPr>
        <w:t>​</w:t>
      </w:r>
    </w:p>
    <w:p w14:paraId="75DF6BD0" w14:textId="5211DED0" w:rsidR="00D743FB" w:rsidRPr="00BB3634" w:rsidRDefault="00D743FB" w:rsidP="007A6720">
      <w:pPr>
        <w:pStyle w:val="Heading3"/>
        <w:numPr>
          <w:ilvl w:val="0"/>
          <w:numId w:val="50"/>
        </w:numPr>
      </w:pPr>
      <w:bookmarkStart w:id="157" w:name="_Toc94360237"/>
      <w:r w:rsidRPr="00BB3634">
        <w:t>On Appeal</w:t>
      </w:r>
      <w:bookmarkEnd w:id="157"/>
    </w:p>
    <w:p w14:paraId="5ADCA024" w14:textId="1F6E6F89" w:rsidR="00BF14D7" w:rsidRPr="00BB3634" w:rsidRDefault="00D743FB" w:rsidP="000B18E5">
      <w:pPr>
        <w:pStyle w:val="NoSpacing"/>
      </w:pPr>
      <w:r w:rsidRPr="00BB3634">
        <w:t>Absent any indication from a fair reading of the trial transcript that the accused did not understand the proceedings or that he could not be understood for language-related reasons, the trial judge in not obliged, on his own motion, to conduct an inquiry into the accused's need for an interpreter or to order one: </w:t>
      </w:r>
      <w:r w:rsidRPr="00BB3634">
        <w:rPr>
          <w:i/>
        </w:rPr>
        <w:t>Chica </w:t>
      </w:r>
      <w:r w:rsidRPr="00BB3634">
        <w:t>at para 35</w:t>
      </w:r>
    </w:p>
    <w:p w14:paraId="6AB98CF8" w14:textId="77777777" w:rsidR="00EF5D24" w:rsidRPr="00BB3634" w:rsidRDefault="00EF5D24" w:rsidP="000B18E5">
      <w:pPr>
        <w:pStyle w:val="NoSpacing"/>
      </w:pPr>
    </w:p>
    <w:p w14:paraId="401906A3" w14:textId="51065577" w:rsidR="00D743FB" w:rsidRPr="00BB3634" w:rsidRDefault="009C2A75" w:rsidP="00BB3634">
      <w:pPr>
        <w:pStyle w:val="Heading1"/>
        <w:spacing w:line="276" w:lineRule="auto"/>
        <w:rPr>
          <w:sz w:val="24"/>
          <w:szCs w:val="24"/>
        </w:rPr>
      </w:pPr>
      <w:bookmarkStart w:id="158" w:name="_Toc94360238"/>
      <w:r w:rsidRPr="00BB3634">
        <w:rPr>
          <w:sz w:val="24"/>
          <w:szCs w:val="24"/>
        </w:rPr>
        <w:t>SECTION 24(1)</w:t>
      </w:r>
      <w:bookmarkEnd w:id="158"/>
    </w:p>
    <w:p w14:paraId="1B207548" w14:textId="63B625EF" w:rsidR="00D743FB" w:rsidRPr="00BB3634" w:rsidRDefault="00D743FB" w:rsidP="00BB3634">
      <w:pPr>
        <w:pStyle w:val="Heading2"/>
        <w:numPr>
          <w:ilvl w:val="0"/>
          <w:numId w:val="18"/>
        </w:numPr>
        <w:spacing w:line="276" w:lineRule="auto"/>
        <w:rPr>
          <w:rFonts w:cs="Arial"/>
        </w:rPr>
      </w:pPr>
      <w:bookmarkStart w:id="159" w:name="_Toc94360239"/>
      <w:r w:rsidRPr="00BB3634">
        <w:rPr>
          <w:rFonts w:cs="Arial"/>
        </w:rPr>
        <w:t>General Principles</w:t>
      </w:r>
      <w:bookmarkEnd w:id="159"/>
    </w:p>
    <w:p w14:paraId="47400B5F" w14:textId="77777777" w:rsidR="00D743FB" w:rsidRPr="00BB3634" w:rsidRDefault="00D743FB" w:rsidP="00BB3634">
      <w:pPr>
        <w:spacing w:before="100" w:beforeAutospacing="1" w:after="100" w:afterAutospacing="1" w:line="276" w:lineRule="auto"/>
        <w:jc w:val="both"/>
        <w:rPr>
          <w:rFonts w:ascii="Arial" w:hAnsi="Arial" w:cs="Arial"/>
        </w:rPr>
      </w:pPr>
      <w:r w:rsidRPr="00BB3634">
        <w:rPr>
          <w:rFonts w:ascii="Arial" w:hAnsi="Arial" w:cs="Arial"/>
        </w:rPr>
        <w:t>A "just and appropriate remedy" will:</w:t>
      </w:r>
    </w:p>
    <w:p w14:paraId="7F010889" w14:textId="77777777" w:rsidR="00D743FB" w:rsidRPr="00BB3634" w:rsidRDefault="00D743FB" w:rsidP="00BB3634">
      <w:pPr>
        <w:numPr>
          <w:ilvl w:val="0"/>
          <w:numId w:val="7"/>
        </w:numPr>
        <w:spacing w:before="100" w:beforeAutospacing="1" w:after="100" w:afterAutospacing="1" w:line="276" w:lineRule="auto"/>
        <w:jc w:val="both"/>
        <w:rPr>
          <w:rFonts w:ascii="Arial" w:hAnsi="Arial" w:cs="Arial"/>
        </w:rPr>
      </w:pPr>
      <w:r w:rsidRPr="00BB3634">
        <w:rPr>
          <w:rFonts w:ascii="Arial" w:hAnsi="Arial" w:cs="Arial"/>
        </w:rPr>
        <w:t>Meaningfully vindicate the rights and freedoms of the claimants</w:t>
      </w:r>
    </w:p>
    <w:p w14:paraId="65B1657B" w14:textId="77777777" w:rsidR="00D743FB" w:rsidRPr="00BB3634" w:rsidRDefault="00D743FB" w:rsidP="00BB3634">
      <w:pPr>
        <w:numPr>
          <w:ilvl w:val="0"/>
          <w:numId w:val="7"/>
        </w:numPr>
        <w:spacing w:before="100" w:beforeAutospacing="1" w:after="100" w:afterAutospacing="1" w:line="276" w:lineRule="auto"/>
        <w:jc w:val="both"/>
        <w:rPr>
          <w:rFonts w:ascii="Arial" w:hAnsi="Arial" w:cs="Arial"/>
        </w:rPr>
      </w:pPr>
      <w:r w:rsidRPr="00BB3634">
        <w:rPr>
          <w:rFonts w:ascii="Arial" w:hAnsi="Arial" w:cs="Arial"/>
        </w:rPr>
        <w:t>Employ means that are legitimate within the framework of our constitutional democracy</w:t>
      </w:r>
    </w:p>
    <w:p w14:paraId="618F074F" w14:textId="77777777" w:rsidR="00D743FB" w:rsidRPr="00BB3634" w:rsidRDefault="00D743FB" w:rsidP="00BB3634">
      <w:pPr>
        <w:numPr>
          <w:ilvl w:val="0"/>
          <w:numId w:val="7"/>
        </w:numPr>
        <w:spacing w:before="100" w:beforeAutospacing="1" w:after="100" w:afterAutospacing="1" w:line="276" w:lineRule="auto"/>
        <w:jc w:val="both"/>
        <w:rPr>
          <w:rFonts w:ascii="Arial" w:hAnsi="Arial" w:cs="Arial"/>
        </w:rPr>
      </w:pPr>
      <w:r w:rsidRPr="00BB3634">
        <w:rPr>
          <w:rFonts w:ascii="Arial" w:hAnsi="Arial" w:cs="Arial"/>
        </w:rPr>
        <w:t>Be a judicial remedy which vindicates the right while invoking the function and powers of a court; and  </w:t>
      </w:r>
    </w:p>
    <w:p w14:paraId="08E480F8" w14:textId="4C0CC10F" w:rsidR="00D743FB" w:rsidRPr="00BB3634" w:rsidRDefault="00D743FB" w:rsidP="00BB3634">
      <w:pPr>
        <w:numPr>
          <w:ilvl w:val="0"/>
          <w:numId w:val="7"/>
        </w:numPr>
        <w:spacing w:before="100" w:beforeAutospacing="1" w:after="100" w:afterAutospacing="1" w:line="276" w:lineRule="auto"/>
        <w:jc w:val="both"/>
        <w:rPr>
          <w:rFonts w:ascii="Arial" w:hAnsi="Arial" w:cs="Arial"/>
        </w:rPr>
      </w:pPr>
      <w:r w:rsidRPr="00BB3634">
        <w:rPr>
          <w:rFonts w:ascii="Arial" w:hAnsi="Arial" w:cs="Arial"/>
        </w:rPr>
        <w:t>Be fair to the party against whom the order is made: </w:t>
      </w:r>
      <w:r w:rsidRPr="00BB3634">
        <w:rPr>
          <w:rFonts w:ascii="Arial" w:hAnsi="Arial" w:cs="Arial"/>
          <w:i/>
          <w:iCs/>
        </w:rPr>
        <w:t>R v Singh, </w:t>
      </w:r>
      <w:r w:rsidRPr="00BB3634">
        <w:rPr>
          <w:rFonts w:ascii="Arial" w:hAnsi="Arial" w:cs="Arial"/>
          <w:u w:val="single"/>
        </w:rPr>
        <w:t>2016 ONCA 108</w:t>
      </w:r>
      <w:r w:rsidRPr="00BB3634">
        <w:rPr>
          <w:rFonts w:ascii="Arial" w:hAnsi="Arial" w:cs="Arial"/>
        </w:rPr>
        <w:t xml:space="preserve"> at para 67</w:t>
      </w:r>
    </w:p>
    <w:p w14:paraId="13CDBAFF" w14:textId="73F9A360" w:rsidR="00D743FB" w:rsidRPr="00BB3634" w:rsidRDefault="00D743FB" w:rsidP="00BB3634">
      <w:pPr>
        <w:spacing w:before="100" w:beforeAutospacing="1" w:after="100" w:afterAutospacing="1" w:line="276" w:lineRule="auto"/>
        <w:jc w:val="both"/>
        <w:rPr>
          <w:rFonts w:ascii="Arial" w:hAnsi="Arial" w:cs="Arial"/>
        </w:rPr>
      </w:pPr>
      <w:r w:rsidRPr="00BB3634">
        <w:rPr>
          <w:rFonts w:ascii="Arial" w:hAnsi="Arial" w:cs="Arial"/>
        </w:rPr>
        <w:lastRenderedPageBreak/>
        <w:t>The power to grant remedies under s. 24(1) is “part of the supreme law of Canada. It follows that this remedial power cannot be strictly limited by statutes or rules of the common law”: </w:t>
      </w:r>
      <w:r w:rsidRPr="00BB3634">
        <w:rPr>
          <w:rFonts w:ascii="Arial" w:hAnsi="Arial" w:cs="Arial"/>
          <w:i/>
          <w:iCs/>
        </w:rPr>
        <w:t>Singh </w:t>
      </w:r>
      <w:r w:rsidRPr="00BB3634">
        <w:rPr>
          <w:rFonts w:ascii="Arial" w:hAnsi="Arial" w:cs="Arial"/>
        </w:rPr>
        <w:t>at para 67</w:t>
      </w:r>
    </w:p>
    <w:p w14:paraId="3F0E62C1" w14:textId="45CA10F7" w:rsidR="00D743FB" w:rsidRPr="00BB3634" w:rsidRDefault="00D743FB" w:rsidP="00BB3634">
      <w:pPr>
        <w:spacing w:before="100" w:beforeAutospacing="1" w:after="100" w:afterAutospacing="1" w:line="276" w:lineRule="auto"/>
        <w:jc w:val="both"/>
        <w:rPr>
          <w:rFonts w:ascii="Arial" w:hAnsi="Arial" w:cs="Arial"/>
        </w:rPr>
      </w:pPr>
      <w:r w:rsidRPr="00BB3634">
        <w:rPr>
          <w:rFonts w:ascii="Arial" w:hAnsi="Arial" w:cs="Arial"/>
          <w:bCs/>
        </w:rPr>
        <w:t xml:space="preserve">Neither the Superior Court of Justice nor the Summary Conviction Court has jurisdiction to entertain an application for an alleged breach of a Charter right once a stay is entered pursuant to </w:t>
      </w:r>
      <w:r w:rsidRPr="00BB3634">
        <w:rPr>
          <w:rFonts w:ascii="Arial" w:hAnsi="Arial" w:cs="Arial"/>
          <w:bCs/>
          <w:u w:val="single"/>
        </w:rPr>
        <w:t>section 579:</w:t>
      </w:r>
      <w:r w:rsidRPr="00BB3634">
        <w:rPr>
          <w:rFonts w:ascii="Arial" w:hAnsi="Arial" w:cs="Arial"/>
          <w:bCs/>
        </w:rPr>
        <w:t> </w:t>
      </w:r>
      <w:r w:rsidRPr="00BB3634">
        <w:rPr>
          <w:rFonts w:ascii="Arial" w:hAnsi="Arial" w:cs="Arial"/>
          <w:i/>
          <w:iCs/>
        </w:rPr>
        <w:t>R v Martin, </w:t>
      </w:r>
      <w:r w:rsidRPr="00BB3634">
        <w:rPr>
          <w:rFonts w:ascii="Arial" w:hAnsi="Arial" w:cs="Arial"/>
          <w:u w:val="single"/>
        </w:rPr>
        <w:t>2016 ONCA 840</w:t>
      </w:r>
      <w:r w:rsidRPr="00BB3634">
        <w:rPr>
          <w:rFonts w:ascii="Arial" w:hAnsi="Arial" w:cs="Arial"/>
        </w:rPr>
        <w:t xml:space="preserve"> at paras 38, 42</w:t>
      </w:r>
    </w:p>
    <w:p w14:paraId="2E52B295" w14:textId="5CC9E762" w:rsidR="00D743FB" w:rsidRPr="00BB3634" w:rsidRDefault="00D743FB" w:rsidP="00BB3634">
      <w:pPr>
        <w:spacing w:before="100" w:beforeAutospacing="1" w:after="100" w:afterAutospacing="1" w:line="276" w:lineRule="auto"/>
        <w:jc w:val="both"/>
        <w:rPr>
          <w:rFonts w:ascii="Arial" w:hAnsi="Arial" w:cs="Arial"/>
          <w:b/>
          <w:bCs/>
        </w:rPr>
      </w:pPr>
      <w:r w:rsidRPr="00BB3634">
        <w:rPr>
          <w:rFonts w:ascii="Arial" w:hAnsi="Arial" w:cs="Arial"/>
        </w:rPr>
        <w:t>However, in a situation where a trial judge comes to a final disposition in a matter, including entering a judicial stay of proceedings, he or she retains jurisdiction to craft an appropriate remedy for a Charter violation, including awarding costs, where appropriate. That is because a remedy under s. 24(1) of the Charter, in those circumstances, is part of the trial judge’s discretionary adjudicative process. </w:t>
      </w:r>
      <w:r w:rsidRPr="00BB3634">
        <w:rPr>
          <w:rFonts w:ascii="Arial" w:hAnsi="Arial" w:cs="Arial"/>
          <w:i/>
          <w:iCs/>
        </w:rPr>
        <w:t>Martin </w:t>
      </w:r>
      <w:r w:rsidRPr="00BB3634">
        <w:rPr>
          <w:rFonts w:ascii="Arial" w:hAnsi="Arial" w:cs="Arial"/>
        </w:rPr>
        <w:t>at para 39</w:t>
      </w:r>
      <w:r w:rsidRPr="00BB3634">
        <w:rPr>
          <w:rFonts w:ascii="Arial" w:hAnsi="Arial" w:cs="Arial"/>
          <w:b/>
          <w:bCs/>
        </w:rPr>
        <w:t> </w:t>
      </w:r>
    </w:p>
    <w:p w14:paraId="48BE7BDC" w14:textId="77777777" w:rsidR="00EF5D24" w:rsidRPr="00BB3634" w:rsidRDefault="00EF5D24" w:rsidP="00BB3634">
      <w:pPr>
        <w:spacing w:before="100" w:beforeAutospacing="1" w:after="100" w:afterAutospacing="1" w:line="276" w:lineRule="auto"/>
        <w:jc w:val="both"/>
        <w:rPr>
          <w:rFonts w:ascii="Arial" w:hAnsi="Arial" w:cs="Arial"/>
          <w:b/>
          <w:bCs/>
        </w:rPr>
      </w:pPr>
    </w:p>
    <w:p w14:paraId="38EEBF6B" w14:textId="70DC0CB9" w:rsidR="00405458" w:rsidRPr="00BB3634" w:rsidRDefault="00405458" w:rsidP="00BB3634">
      <w:pPr>
        <w:pStyle w:val="Heading2"/>
        <w:numPr>
          <w:ilvl w:val="0"/>
          <w:numId w:val="9"/>
        </w:numPr>
        <w:spacing w:line="276" w:lineRule="auto"/>
        <w:ind w:left="360"/>
        <w:rPr>
          <w:rFonts w:cs="Arial"/>
        </w:rPr>
      </w:pPr>
      <w:bookmarkStart w:id="160" w:name="_Toc94360240"/>
      <w:r w:rsidRPr="00BB3634">
        <w:rPr>
          <w:rFonts w:cs="Arial"/>
        </w:rPr>
        <w:t xml:space="preserve">Remedy of </w:t>
      </w:r>
      <w:r w:rsidR="00D23AF9" w:rsidRPr="00BB3634">
        <w:rPr>
          <w:rFonts w:cs="Arial"/>
        </w:rPr>
        <w:t>D</w:t>
      </w:r>
      <w:r w:rsidRPr="00BB3634">
        <w:rPr>
          <w:rFonts w:cs="Arial"/>
        </w:rPr>
        <w:t>eclaration</w:t>
      </w:r>
      <w:bookmarkEnd w:id="160"/>
    </w:p>
    <w:p w14:paraId="00CE2544" w14:textId="055A5CD7" w:rsidR="00405458" w:rsidRPr="00C57050" w:rsidRDefault="00C57050" w:rsidP="00BB3634">
      <w:pPr>
        <w:spacing w:line="276" w:lineRule="auto"/>
        <w:rPr>
          <w:rFonts w:ascii="Arial" w:hAnsi="Arial" w:cs="Arial"/>
          <w:i/>
          <w:iCs/>
        </w:rPr>
      </w:pPr>
      <w:r>
        <w:rPr>
          <w:rFonts w:ascii="Arial" w:hAnsi="Arial" w:cs="Arial"/>
          <w:i/>
          <w:iCs/>
        </w:rPr>
        <w:t>Forthcoming</w:t>
      </w:r>
    </w:p>
    <w:p w14:paraId="687DE818" w14:textId="2D5FDE71" w:rsidR="00691ADB" w:rsidRDefault="00D743FB" w:rsidP="00BB3634">
      <w:pPr>
        <w:pStyle w:val="Heading2"/>
        <w:numPr>
          <w:ilvl w:val="0"/>
          <w:numId w:val="9"/>
        </w:numPr>
        <w:spacing w:line="276" w:lineRule="auto"/>
        <w:ind w:left="360"/>
        <w:rPr>
          <w:rFonts w:cs="Arial"/>
        </w:rPr>
      </w:pPr>
      <w:bookmarkStart w:id="161" w:name="_Toc94360241"/>
      <w:r w:rsidRPr="00BB3634">
        <w:rPr>
          <w:rFonts w:cs="Arial"/>
        </w:rPr>
        <w:t>Remedy of Costs</w:t>
      </w:r>
      <w:bookmarkEnd w:id="161"/>
    </w:p>
    <w:p w14:paraId="51E5666C" w14:textId="77777777" w:rsidR="007A6720" w:rsidRPr="007A6720" w:rsidRDefault="007A6720" w:rsidP="007A6720">
      <w:pPr>
        <w:rPr>
          <w:lang w:val="en-US"/>
        </w:rPr>
      </w:pPr>
    </w:p>
    <w:p w14:paraId="413DC93E" w14:textId="77777777" w:rsidR="00D743FB" w:rsidRPr="00BB3634" w:rsidRDefault="00D743FB" w:rsidP="00E32F34">
      <w:pPr>
        <w:pStyle w:val="Heading3"/>
        <w:numPr>
          <w:ilvl w:val="0"/>
          <w:numId w:val="59"/>
        </w:numPr>
      </w:pPr>
      <w:bookmarkStart w:id="162" w:name="_Toc94360242"/>
      <w:r w:rsidRPr="00BB3634">
        <w:t>Jurisdiction</w:t>
      </w:r>
      <w:bookmarkEnd w:id="162"/>
    </w:p>
    <w:p w14:paraId="7A5E3845" w14:textId="77777777" w:rsidR="00D743FB" w:rsidRPr="00BB3634" w:rsidRDefault="00D743FB" w:rsidP="000B18E5">
      <w:pPr>
        <w:pStyle w:val="NoSpacing"/>
      </w:pPr>
      <w:r w:rsidRPr="00BB3634">
        <w:t>Statutory courts have jurisdiction to hear applications for Charter relief, and grant costs as part of a remedy under s. 24(1). The implied power is linked to the court’s control of its trial process: </w:t>
      </w:r>
      <w:r w:rsidRPr="00BB3634">
        <w:rPr>
          <w:i/>
        </w:rPr>
        <w:t>R v Martin, </w:t>
      </w:r>
      <w:r w:rsidRPr="00BB3634">
        <w:rPr>
          <w:u w:val="single"/>
        </w:rPr>
        <w:t>2016 ONCA 840</w:t>
      </w:r>
      <w:r w:rsidRPr="00BB3634">
        <w:t xml:space="preserve"> at para 35</w:t>
      </w:r>
    </w:p>
    <w:p w14:paraId="0BA1ACBA" w14:textId="77777777" w:rsidR="00D743FB" w:rsidRPr="00BB3634" w:rsidRDefault="00D743FB" w:rsidP="000B18E5">
      <w:pPr>
        <w:pStyle w:val="NoSpacing"/>
      </w:pPr>
      <w:r w:rsidRPr="00BB3634">
        <w:t>​</w:t>
      </w:r>
    </w:p>
    <w:p w14:paraId="114652F3" w14:textId="3D060B7B" w:rsidR="00D743FB" w:rsidRDefault="00D743FB" w:rsidP="000B18E5">
      <w:pPr>
        <w:pStyle w:val="NoSpacing"/>
      </w:pPr>
      <w:r w:rsidRPr="00BB3634">
        <w:t xml:space="preserve">The Summary Conviction Court does not have jurisdiction to hear a costs application when the Crown exercises its prerogative to enter a stay pursuant to </w:t>
      </w:r>
      <w:r w:rsidRPr="00BB3634">
        <w:rPr>
          <w:u w:val="single"/>
        </w:rPr>
        <w:t>section 579</w:t>
      </w:r>
      <w:r w:rsidRPr="00BB3634">
        <w:t xml:space="preserve"> of the Criminal Code because, in these circumstances, the Court's process if not invoked: </w:t>
      </w:r>
      <w:r w:rsidRPr="00BB3634">
        <w:rPr>
          <w:i/>
        </w:rPr>
        <w:t>Martin </w:t>
      </w:r>
      <w:r w:rsidRPr="00BB3634">
        <w:t>at para 36</w:t>
      </w:r>
    </w:p>
    <w:p w14:paraId="2BF34A72" w14:textId="0B4D5888" w:rsidR="00BB3634" w:rsidRDefault="00BB3634" w:rsidP="000B18E5">
      <w:pPr>
        <w:pStyle w:val="NoSpacing"/>
      </w:pPr>
    </w:p>
    <w:p w14:paraId="314A1EDE" w14:textId="77777777" w:rsidR="00C57050" w:rsidRDefault="00C57050" w:rsidP="000B18E5">
      <w:pPr>
        <w:pStyle w:val="NoSpacing"/>
      </w:pPr>
    </w:p>
    <w:p w14:paraId="3B59C4D2" w14:textId="77777777" w:rsidR="00BB3634" w:rsidRPr="00BB3634" w:rsidRDefault="00BB3634" w:rsidP="000B18E5">
      <w:pPr>
        <w:pStyle w:val="NoSpacing"/>
      </w:pPr>
    </w:p>
    <w:p w14:paraId="6DB3D86E" w14:textId="500DD293" w:rsidR="00D743FB" w:rsidRPr="00BB3634" w:rsidRDefault="00D743FB" w:rsidP="007A6720">
      <w:pPr>
        <w:pStyle w:val="Heading3"/>
      </w:pPr>
      <w:bookmarkStart w:id="163" w:name="_Toc94360243"/>
      <w:r w:rsidRPr="00BB3634">
        <w:lastRenderedPageBreak/>
        <w:t>When Available as remedy</w:t>
      </w:r>
      <w:bookmarkEnd w:id="163"/>
    </w:p>
    <w:p w14:paraId="2782F3A4" w14:textId="77777777" w:rsidR="00D743FB" w:rsidRPr="00BB3634" w:rsidRDefault="00D743FB" w:rsidP="000B18E5">
      <w:pPr>
        <w:pStyle w:val="NoSpacing"/>
      </w:pPr>
      <w:r w:rsidRPr="00BB3634">
        <w:t>A trial judge may award costs against the Crown for a breach of its disclosure obligations in circumstances where there is a marked and unacceptable departure from the reasonable standards expected of the prosecution: </w:t>
      </w:r>
      <w:r w:rsidRPr="00BB3634">
        <w:rPr>
          <w:i/>
        </w:rPr>
        <w:t>R v Singh, </w:t>
      </w:r>
      <w:r w:rsidRPr="00BB3634">
        <w:rPr>
          <w:u w:val="single"/>
        </w:rPr>
        <w:t>2016 ONCA 108</w:t>
      </w:r>
      <w:r w:rsidRPr="00BB3634">
        <w:t xml:space="preserve"> at para 32</w:t>
      </w:r>
    </w:p>
    <w:p w14:paraId="65C9A1D5" w14:textId="77777777" w:rsidR="00D743FB" w:rsidRPr="00BB3634" w:rsidRDefault="00D743FB" w:rsidP="000B18E5">
      <w:pPr>
        <w:pStyle w:val="NoSpacing"/>
      </w:pPr>
    </w:p>
    <w:p w14:paraId="03525E9F" w14:textId="77777777" w:rsidR="00D743FB" w:rsidRPr="00BB3634" w:rsidRDefault="00D743FB" w:rsidP="000B18E5">
      <w:pPr>
        <w:pStyle w:val="NoSpacing"/>
      </w:pPr>
      <w:r w:rsidRPr="00BB3634">
        <w:t>Given the policy concerns associated with exposing prosecutors to civil liability, it is necessary that the liability threshold be set near the high end of the blameworthiness spectrum - where conduct such as deliberate failure to disclosure exculpatory evidence lies: </w:t>
      </w:r>
      <w:r w:rsidRPr="00BB3634">
        <w:rPr>
          <w:b/>
          <w:i/>
        </w:rPr>
        <w:t>Singh </w:t>
      </w:r>
      <w:r w:rsidRPr="00BB3634">
        <w:t>at para 36</w:t>
      </w:r>
    </w:p>
    <w:p w14:paraId="0A049F01" w14:textId="77777777" w:rsidR="00D743FB" w:rsidRPr="00BB3634" w:rsidRDefault="00D743FB" w:rsidP="000B18E5">
      <w:pPr>
        <w:pStyle w:val="NoSpacing"/>
      </w:pPr>
    </w:p>
    <w:p w14:paraId="6E54A767" w14:textId="77777777" w:rsidR="00D743FB" w:rsidRPr="00BB3634" w:rsidRDefault="00D743FB" w:rsidP="000B18E5">
      <w:pPr>
        <w:pStyle w:val="NoSpacing"/>
      </w:pPr>
      <w:r w:rsidRPr="00BB3634">
        <w:t>Costs should not be awarded if alternative remedies under s.24(1) can address the </w:t>
      </w:r>
      <w:r w:rsidRPr="00BB3634">
        <w:rPr>
          <w:i/>
        </w:rPr>
        <w:t>Charter </w:t>
      </w:r>
      <w:r w:rsidRPr="00BB3634">
        <w:t>breach: </w:t>
      </w:r>
      <w:r w:rsidRPr="00BB3634">
        <w:rPr>
          <w:i/>
        </w:rPr>
        <w:t>Singh</w:t>
      </w:r>
      <w:r w:rsidRPr="00BB3634">
        <w:t xml:space="preserve"> at para 37 </w:t>
      </w:r>
    </w:p>
    <w:p w14:paraId="40A71A89" w14:textId="77777777" w:rsidR="00D743FB" w:rsidRPr="00BB3634" w:rsidRDefault="00D743FB" w:rsidP="000B18E5">
      <w:pPr>
        <w:pStyle w:val="NoSpacing"/>
      </w:pPr>
    </w:p>
    <w:p w14:paraId="65B1DBB3" w14:textId="77777777" w:rsidR="00D743FB" w:rsidRPr="00BB3634" w:rsidRDefault="00D743FB" w:rsidP="000B18E5">
      <w:pPr>
        <w:pStyle w:val="NoSpacing"/>
      </w:pPr>
      <w:r w:rsidRPr="00BB3634">
        <w:t>Costs orders will not be made against the Crown for the misconduct of other parties, such as witnesses or investigative agencies, unless the Crown has participated in the misconduct: Singh at para 45</w:t>
      </w:r>
    </w:p>
    <w:p w14:paraId="73464B60" w14:textId="77777777" w:rsidR="00D743FB" w:rsidRPr="00BB3634" w:rsidRDefault="00D743FB" w:rsidP="000B18E5">
      <w:pPr>
        <w:pStyle w:val="NoSpacing"/>
      </w:pPr>
    </w:p>
    <w:p w14:paraId="6AC68A8C" w14:textId="77777777" w:rsidR="00D743FB" w:rsidRPr="00BB3634" w:rsidRDefault="00D743FB" w:rsidP="000B18E5">
      <w:pPr>
        <w:pStyle w:val="NoSpacing"/>
      </w:pPr>
    </w:p>
    <w:p w14:paraId="600390DA" w14:textId="6BAC1A3E" w:rsidR="00D743FB" w:rsidRPr="00BB3634" w:rsidRDefault="00D743FB" w:rsidP="00BB3634">
      <w:pPr>
        <w:pStyle w:val="Heading4"/>
        <w:numPr>
          <w:ilvl w:val="0"/>
          <w:numId w:val="19"/>
        </w:numPr>
        <w:spacing w:line="276" w:lineRule="auto"/>
        <w:rPr>
          <w:rFonts w:cs="Arial"/>
          <w:sz w:val="24"/>
          <w:szCs w:val="24"/>
        </w:rPr>
      </w:pPr>
      <w:r w:rsidRPr="00BB3634">
        <w:rPr>
          <w:rFonts w:cs="Arial"/>
          <w:sz w:val="24"/>
          <w:szCs w:val="24"/>
        </w:rPr>
        <w:t>Factors to consider</w:t>
      </w:r>
    </w:p>
    <w:p w14:paraId="03D8F016" w14:textId="77777777" w:rsidR="00D743FB" w:rsidRPr="00BB3634" w:rsidRDefault="00D743FB" w:rsidP="00BB3634">
      <w:pPr>
        <w:spacing w:before="100" w:beforeAutospacing="1" w:after="100" w:afterAutospacing="1" w:line="276" w:lineRule="auto"/>
        <w:jc w:val="both"/>
        <w:rPr>
          <w:rFonts w:ascii="Arial" w:hAnsi="Arial" w:cs="Arial"/>
        </w:rPr>
      </w:pPr>
      <w:r w:rsidRPr="00BB3634">
        <w:rPr>
          <w:rFonts w:ascii="Arial" w:hAnsi="Arial" w:cs="Arial"/>
        </w:rPr>
        <w:t>The costs award against the Crown should provide “a reasonable portion” of the costs an accused incurs to secure his Charter rights. How the precise calculation should be done, as noted, is a matter for the trial judge’s discretion, but the following factors should be considered where the issue is non-disclosure:</w:t>
      </w:r>
    </w:p>
    <w:p w14:paraId="347F3D41" w14:textId="77777777" w:rsidR="00D743FB" w:rsidRPr="00BB3634" w:rsidRDefault="00D743FB" w:rsidP="00BB3634">
      <w:pPr>
        <w:numPr>
          <w:ilvl w:val="0"/>
          <w:numId w:val="8"/>
        </w:numPr>
        <w:spacing w:before="100" w:beforeAutospacing="1" w:after="100" w:afterAutospacing="1" w:line="276" w:lineRule="auto"/>
        <w:jc w:val="both"/>
        <w:rPr>
          <w:rFonts w:ascii="Arial" w:hAnsi="Arial" w:cs="Arial"/>
        </w:rPr>
      </w:pPr>
      <w:r w:rsidRPr="00BB3634">
        <w:rPr>
          <w:rFonts w:ascii="Arial" w:hAnsi="Arial" w:cs="Arial"/>
        </w:rPr>
        <w:t>the nature of the case and the legal complexity of the work done;</w:t>
      </w:r>
    </w:p>
    <w:p w14:paraId="105DC879" w14:textId="77777777" w:rsidR="00D743FB" w:rsidRPr="00BB3634" w:rsidRDefault="00D743FB" w:rsidP="00BB3634">
      <w:pPr>
        <w:numPr>
          <w:ilvl w:val="0"/>
          <w:numId w:val="8"/>
        </w:numPr>
        <w:spacing w:before="100" w:beforeAutospacing="1" w:after="100" w:afterAutospacing="1" w:line="276" w:lineRule="auto"/>
        <w:jc w:val="both"/>
        <w:rPr>
          <w:rFonts w:ascii="Arial" w:hAnsi="Arial" w:cs="Arial"/>
        </w:rPr>
      </w:pPr>
      <w:r w:rsidRPr="00BB3634">
        <w:rPr>
          <w:rFonts w:ascii="Arial" w:hAnsi="Arial" w:cs="Arial"/>
        </w:rPr>
        <w:t>the length of the proceedings;</w:t>
      </w:r>
    </w:p>
    <w:p w14:paraId="78E085F9" w14:textId="77777777" w:rsidR="00D743FB" w:rsidRPr="00BB3634" w:rsidRDefault="00D743FB" w:rsidP="00BB3634">
      <w:pPr>
        <w:numPr>
          <w:ilvl w:val="0"/>
          <w:numId w:val="8"/>
        </w:numPr>
        <w:spacing w:before="100" w:beforeAutospacing="1" w:after="100" w:afterAutospacing="1" w:line="276" w:lineRule="auto"/>
        <w:jc w:val="both"/>
        <w:rPr>
          <w:rFonts w:ascii="Arial" w:hAnsi="Arial" w:cs="Arial"/>
        </w:rPr>
      </w:pPr>
      <w:r w:rsidRPr="00BB3634">
        <w:rPr>
          <w:rFonts w:ascii="Arial" w:hAnsi="Arial" w:cs="Arial"/>
        </w:rPr>
        <w:t>the nature and extent of the misconduct found;</w:t>
      </w:r>
    </w:p>
    <w:p w14:paraId="58808E40" w14:textId="77777777" w:rsidR="00D743FB" w:rsidRPr="00BB3634" w:rsidRDefault="00D743FB" w:rsidP="00BB3634">
      <w:pPr>
        <w:numPr>
          <w:ilvl w:val="0"/>
          <w:numId w:val="8"/>
        </w:numPr>
        <w:spacing w:before="100" w:beforeAutospacing="1" w:after="100" w:afterAutospacing="1" w:line="276" w:lineRule="auto"/>
        <w:jc w:val="both"/>
        <w:rPr>
          <w:rFonts w:ascii="Arial" w:hAnsi="Arial" w:cs="Arial"/>
        </w:rPr>
      </w:pPr>
      <w:r w:rsidRPr="00BB3634">
        <w:rPr>
          <w:rFonts w:ascii="Arial" w:hAnsi="Arial" w:cs="Arial"/>
        </w:rPr>
        <w:t>the impact of the misconduct on the rights of the accused;</w:t>
      </w:r>
    </w:p>
    <w:p w14:paraId="56DE2390" w14:textId="77777777" w:rsidR="00D743FB" w:rsidRPr="00BB3634" w:rsidRDefault="00D743FB" w:rsidP="00BB3634">
      <w:pPr>
        <w:numPr>
          <w:ilvl w:val="0"/>
          <w:numId w:val="8"/>
        </w:numPr>
        <w:spacing w:before="100" w:beforeAutospacing="1" w:after="100" w:afterAutospacing="1" w:line="276" w:lineRule="auto"/>
        <w:jc w:val="both"/>
        <w:rPr>
          <w:rFonts w:ascii="Arial" w:hAnsi="Arial" w:cs="Arial"/>
        </w:rPr>
      </w:pPr>
      <w:r w:rsidRPr="00BB3634">
        <w:rPr>
          <w:rFonts w:ascii="Arial" w:hAnsi="Arial" w:cs="Arial"/>
        </w:rPr>
        <w:t>the efforts (or lack thereof) of defence counsel to diligently follow up on disclosure; and</w:t>
      </w:r>
    </w:p>
    <w:p w14:paraId="63124762" w14:textId="6B30246A" w:rsidR="00D743FB" w:rsidRPr="00BB3634" w:rsidRDefault="00D743FB" w:rsidP="00BB3634">
      <w:pPr>
        <w:numPr>
          <w:ilvl w:val="0"/>
          <w:numId w:val="8"/>
        </w:numPr>
        <w:spacing w:before="100" w:beforeAutospacing="1" w:after="100" w:afterAutospacing="1" w:line="276" w:lineRule="auto"/>
        <w:jc w:val="both"/>
        <w:rPr>
          <w:rFonts w:ascii="Arial" w:hAnsi="Arial" w:cs="Arial"/>
        </w:rPr>
      </w:pPr>
      <w:r w:rsidRPr="00BB3634">
        <w:rPr>
          <w:rFonts w:ascii="Arial" w:hAnsi="Arial" w:cs="Arial"/>
        </w:rPr>
        <w:t>the actual impact upon the accused’s ability to defend the charges in the future: </w:t>
      </w:r>
      <w:r w:rsidRPr="00BB3634">
        <w:rPr>
          <w:rFonts w:ascii="Arial" w:hAnsi="Arial" w:cs="Arial"/>
          <w:i/>
          <w:iCs/>
        </w:rPr>
        <w:t>Singh </w:t>
      </w:r>
      <w:r w:rsidRPr="00BB3634">
        <w:rPr>
          <w:rFonts w:ascii="Arial" w:hAnsi="Arial" w:cs="Arial"/>
        </w:rPr>
        <w:t>at paras 41-42, 57</w:t>
      </w:r>
    </w:p>
    <w:p w14:paraId="768AB9BE" w14:textId="4477B708" w:rsidR="00D743FB" w:rsidRPr="00BB3634" w:rsidRDefault="00D743FB" w:rsidP="00BB3634">
      <w:pPr>
        <w:spacing w:before="100" w:beforeAutospacing="1" w:after="100" w:afterAutospacing="1" w:line="276" w:lineRule="auto"/>
        <w:jc w:val="both"/>
        <w:rPr>
          <w:rFonts w:ascii="Arial" w:hAnsi="Arial" w:cs="Arial"/>
        </w:rPr>
      </w:pPr>
      <w:r w:rsidRPr="00BB3634">
        <w:rPr>
          <w:rFonts w:ascii="Arial" w:hAnsi="Arial" w:cs="Arial"/>
        </w:rPr>
        <w:t>The fact that an accused is legally aided is relevant in determining the last factor - impact on ability to defend charges and whether this was engaged because of financial hardship: </w:t>
      </w:r>
      <w:r w:rsidRPr="00BB3634">
        <w:rPr>
          <w:rFonts w:ascii="Arial" w:hAnsi="Arial" w:cs="Arial"/>
          <w:i/>
          <w:iCs/>
        </w:rPr>
        <w:t>Singh </w:t>
      </w:r>
      <w:r w:rsidRPr="00BB3634">
        <w:rPr>
          <w:rFonts w:ascii="Arial" w:hAnsi="Arial" w:cs="Arial"/>
        </w:rPr>
        <w:t>at para 65</w:t>
      </w:r>
    </w:p>
    <w:p w14:paraId="3FB58725" w14:textId="77777777" w:rsidR="00C21B3B" w:rsidRPr="00BB3634" w:rsidRDefault="00C21B3B" w:rsidP="00BB3634">
      <w:pPr>
        <w:spacing w:before="100" w:beforeAutospacing="1" w:after="100" w:afterAutospacing="1" w:line="276" w:lineRule="auto"/>
        <w:jc w:val="both"/>
        <w:rPr>
          <w:rFonts w:ascii="Arial" w:hAnsi="Arial" w:cs="Arial"/>
        </w:rPr>
      </w:pPr>
    </w:p>
    <w:p w14:paraId="4F8F9CEF" w14:textId="320E7D18" w:rsidR="00D743FB" w:rsidRPr="00BB3634" w:rsidRDefault="00D743FB" w:rsidP="00BB3634">
      <w:pPr>
        <w:pStyle w:val="Heading4"/>
        <w:spacing w:line="276" w:lineRule="auto"/>
        <w:rPr>
          <w:rFonts w:cs="Arial"/>
          <w:sz w:val="24"/>
          <w:szCs w:val="24"/>
        </w:rPr>
      </w:pPr>
      <w:r w:rsidRPr="00BB3634">
        <w:rPr>
          <w:rFonts w:cs="Arial"/>
          <w:sz w:val="24"/>
          <w:szCs w:val="24"/>
        </w:rPr>
        <w:lastRenderedPageBreak/>
        <w:t>Quantum</w:t>
      </w:r>
    </w:p>
    <w:p w14:paraId="1F29AA9C" w14:textId="27BACD94" w:rsidR="00D743FB" w:rsidRPr="00BB3634" w:rsidRDefault="00D743FB" w:rsidP="000B18E5">
      <w:pPr>
        <w:pStyle w:val="NoSpacing"/>
      </w:pPr>
      <w:r w:rsidRPr="00BB3634">
        <w:t xml:space="preserve">The fact that an accused is legally aided is relevant ot the quantum of costs: </w:t>
      </w:r>
      <w:r w:rsidRPr="00BB3634">
        <w:rPr>
          <w:i/>
        </w:rPr>
        <w:t>Singh </w:t>
      </w:r>
      <w:r w:rsidRPr="00BB3634">
        <w:t>at para 66</w:t>
      </w:r>
    </w:p>
    <w:p w14:paraId="62F69A9F" w14:textId="393D50E4" w:rsidR="00D743FB" w:rsidRPr="00BB3634" w:rsidRDefault="00D743FB" w:rsidP="00BB3634">
      <w:pPr>
        <w:pStyle w:val="Heading2"/>
        <w:spacing w:line="276" w:lineRule="auto"/>
        <w:rPr>
          <w:rFonts w:cs="Arial"/>
        </w:rPr>
      </w:pPr>
      <w:bookmarkStart w:id="164" w:name="_Toc94360244"/>
      <w:r w:rsidRPr="00BB3634">
        <w:rPr>
          <w:rFonts w:cs="Arial"/>
        </w:rPr>
        <w:t>Remedy of a Stay</w:t>
      </w:r>
      <w:bookmarkEnd w:id="164"/>
    </w:p>
    <w:p w14:paraId="1427B518" w14:textId="3FD91733" w:rsidR="00D743FB" w:rsidRPr="00BB3634" w:rsidRDefault="00D743FB" w:rsidP="007A6720">
      <w:pPr>
        <w:pStyle w:val="Heading3"/>
        <w:numPr>
          <w:ilvl w:val="0"/>
          <w:numId w:val="54"/>
        </w:numPr>
      </w:pPr>
      <w:bookmarkStart w:id="165" w:name="_Toc94360245"/>
      <w:r w:rsidRPr="00BB3634">
        <w:t>The Test</w:t>
      </w:r>
      <w:bookmarkEnd w:id="165"/>
    </w:p>
    <w:p w14:paraId="76DD40E1" w14:textId="063B82C6" w:rsidR="005C0227" w:rsidRDefault="005C0227" w:rsidP="000B18E5">
      <w:pPr>
        <w:pStyle w:val="NoSpacing"/>
      </w:pPr>
    </w:p>
    <w:p w14:paraId="17DD5EF8" w14:textId="77777777" w:rsidR="00655794" w:rsidRPr="00655794" w:rsidRDefault="00655794" w:rsidP="000B18E5">
      <w:pPr>
        <w:pStyle w:val="NoSpacing"/>
      </w:pPr>
      <w:r w:rsidRPr="00655794">
        <w:t> In general, stays of proceedings for an abuse of process will be warranted in two categories of cases:</w:t>
      </w:r>
    </w:p>
    <w:p w14:paraId="2291169A" w14:textId="6F96F100" w:rsidR="00655794" w:rsidRPr="00655794" w:rsidRDefault="00655794" w:rsidP="00E32F34">
      <w:pPr>
        <w:pStyle w:val="NoSpacing"/>
        <w:numPr>
          <w:ilvl w:val="0"/>
          <w:numId w:val="55"/>
        </w:numPr>
      </w:pPr>
      <w:r w:rsidRPr="00655794">
        <w:t>where the state conduct compromises the fairness of an accused's trial (the main category); and</w:t>
      </w:r>
    </w:p>
    <w:p w14:paraId="42172BE5" w14:textId="6A4BE078" w:rsidR="00655794" w:rsidRDefault="00655794" w:rsidP="00E32F34">
      <w:pPr>
        <w:pStyle w:val="NoSpacing"/>
        <w:numPr>
          <w:ilvl w:val="0"/>
          <w:numId w:val="55"/>
        </w:numPr>
      </w:pPr>
      <w:r w:rsidRPr="00655794">
        <w:t>where the state conduct creates no threat to trial fairness but risks undermining the judicial process (the residual category)</w:t>
      </w:r>
      <w:r>
        <w:t xml:space="preserve">: </w:t>
      </w:r>
      <w:r>
        <w:rPr>
          <w:i/>
        </w:rPr>
        <w:t xml:space="preserve">R v Ke, </w:t>
      </w:r>
      <w:hyperlink r:id="rId416" w:history="1">
        <w:r w:rsidRPr="00655794">
          <w:rPr>
            <w:rStyle w:val="Hyperlink"/>
          </w:rPr>
          <w:t>2021 ONCA 179</w:t>
        </w:r>
      </w:hyperlink>
      <w:r>
        <w:t>, at para 76</w:t>
      </w:r>
    </w:p>
    <w:p w14:paraId="13E7CBED" w14:textId="77777777" w:rsidR="00655794" w:rsidRPr="00655794" w:rsidRDefault="00655794" w:rsidP="000B18E5">
      <w:pPr>
        <w:pStyle w:val="NoSpacing"/>
      </w:pPr>
    </w:p>
    <w:p w14:paraId="3414AA7D" w14:textId="5CFC09DB" w:rsidR="00655794" w:rsidRDefault="00655794" w:rsidP="000B18E5">
      <w:pPr>
        <w:pStyle w:val="NoSpacing"/>
      </w:pPr>
      <w:r w:rsidRPr="00655794">
        <w:t>The test to determine whether a stay of proceedings should be entered consists of three requirements</w:t>
      </w:r>
      <w:r>
        <w:t>:</w:t>
      </w:r>
    </w:p>
    <w:p w14:paraId="0E8A70FC" w14:textId="77777777" w:rsidR="00081BE6" w:rsidRPr="00BB3634" w:rsidRDefault="00081BE6" w:rsidP="000B18E5">
      <w:pPr>
        <w:pStyle w:val="NoSpacing"/>
      </w:pPr>
    </w:p>
    <w:p w14:paraId="66B531CF" w14:textId="5FAB5236" w:rsidR="005C0227" w:rsidRPr="00BB3634" w:rsidRDefault="00D743FB" w:rsidP="000B18E5">
      <w:pPr>
        <w:pStyle w:val="NoSpacing"/>
        <w:numPr>
          <w:ilvl w:val="0"/>
          <w:numId w:val="21"/>
        </w:numPr>
      </w:pPr>
      <w:r w:rsidRPr="00BB3634">
        <w:t>There must be prejudice to the accused’s right to a fair trial or the integrity of the justice system that will be manifested, perpetuated or aggravated through the conduct of the trial, or by its outcome</w:t>
      </w:r>
    </w:p>
    <w:p w14:paraId="3C2102EA" w14:textId="77777777" w:rsidR="005C0227" w:rsidRPr="00BB3634" w:rsidRDefault="005C0227" w:rsidP="000B18E5">
      <w:pPr>
        <w:pStyle w:val="NoSpacing"/>
      </w:pPr>
    </w:p>
    <w:p w14:paraId="08BFF83B" w14:textId="77777777" w:rsidR="00D743FB" w:rsidRPr="00BB3634" w:rsidRDefault="00D743FB" w:rsidP="000B18E5">
      <w:pPr>
        <w:pStyle w:val="NoSpacing"/>
        <w:numPr>
          <w:ilvl w:val="0"/>
          <w:numId w:val="21"/>
        </w:numPr>
      </w:pPr>
      <w:r w:rsidRPr="00BB3634">
        <w:t>There must be no alternative remedy capable of redressing the prejudice (E.g., exclusion of evidence or sentence remission: </w:t>
      </w:r>
      <w:r w:rsidRPr="00BB3634">
        <w:rPr>
          <w:i/>
        </w:rPr>
        <w:t xml:space="preserve">R v Kift, </w:t>
      </w:r>
      <w:r w:rsidRPr="00BB3634">
        <w:rPr>
          <w:u w:val="single"/>
        </w:rPr>
        <w:t>2016 ONCA 374</w:t>
      </w:r>
      <w:r w:rsidRPr="00BB3634">
        <w:t xml:space="preserve"> at para 5); and</w:t>
      </w:r>
    </w:p>
    <w:p w14:paraId="5979A9F1" w14:textId="77777777" w:rsidR="005C0227" w:rsidRPr="00BB3634" w:rsidRDefault="005C0227" w:rsidP="000B18E5">
      <w:pPr>
        <w:pStyle w:val="NoSpacing"/>
      </w:pPr>
    </w:p>
    <w:p w14:paraId="3AF6DADB" w14:textId="130ED9F9" w:rsidR="00655794" w:rsidRDefault="00D743FB" w:rsidP="000B18E5">
      <w:pPr>
        <w:pStyle w:val="NoSpacing"/>
        <w:numPr>
          <w:ilvl w:val="0"/>
          <w:numId w:val="21"/>
        </w:numPr>
      </w:pPr>
      <w:r w:rsidRPr="00BB3634">
        <w:t>Where there is still uncertainty over whether a stay is warranted after steps 1) and 2), the court is required to balance the interests in favour of granting a stay, such as denouncing misconduct and preserving the integrity of the justice system, against the interest that society has in having a final decision on the merits: </w:t>
      </w:r>
      <w:r w:rsidRPr="00BB3634">
        <w:rPr>
          <w:i/>
        </w:rPr>
        <w:t>R v Babos, </w:t>
      </w:r>
      <w:r w:rsidRPr="00BB3634">
        <w:rPr>
          <w:u w:val="single"/>
        </w:rPr>
        <w:t>2016 SCC 16</w:t>
      </w:r>
      <w:r w:rsidRPr="00BB3634">
        <w:t xml:space="preserve"> at para 32; </w:t>
      </w:r>
      <w:r w:rsidRPr="00BB3634">
        <w:rPr>
          <w:i/>
        </w:rPr>
        <w:t>R v Kift, </w:t>
      </w:r>
      <w:r w:rsidRPr="00BB3634">
        <w:t>2016 ONCA 374 at paras 7-8</w:t>
      </w:r>
    </w:p>
    <w:p w14:paraId="3BCCE512" w14:textId="3E7CC58C" w:rsidR="00655794" w:rsidRDefault="00655794" w:rsidP="000B18E5">
      <w:pPr>
        <w:pStyle w:val="NoSpacing"/>
      </w:pPr>
    </w:p>
    <w:p w14:paraId="53B355D0" w14:textId="77777777" w:rsidR="00655794" w:rsidRPr="00655794" w:rsidRDefault="00655794" w:rsidP="000B18E5">
      <w:pPr>
        <w:pStyle w:val="NoSpacing"/>
      </w:pPr>
    </w:p>
    <w:p w14:paraId="2B36E9B0" w14:textId="065D4045" w:rsidR="00655794" w:rsidRDefault="00655794" w:rsidP="000B18E5">
      <w:pPr>
        <w:pStyle w:val="NoSpacing"/>
      </w:pPr>
      <w:r w:rsidRPr="00655794">
        <w:t xml:space="preserve">For cases in the main category, the question involved in the prejudice element is whether the accused's right to a fair trial has been prejudiced by the state </w:t>
      </w:r>
      <w:r w:rsidRPr="00655794">
        <w:lastRenderedPageBreak/>
        <w:t>conduct and whether that prejudice will be carried forward through the conduct of the trial. The focus is on whether there is ongoing unfairness to the accused</w:t>
      </w:r>
      <w:r>
        <w:t>.</w:t>
      </w:r>
    </w:p>
    <w:p w14:paraId="427741C7" w14:textId="77777777" w:rsidR="00655794" w:rsidRPr="00655794" w:rsidRDefault="00655794" w:rsidP="000B18E5">
      <w:pPr>
        <w:pStyle w:val="NoSpacing"/>
      </w:pPr>
    </w:p>
    <w:p w14:paraId="74AFCE84" w14:textId="7423374C" w:rsidR="00655794" w:rsidRDefault="00655794" w:rsidP="000B18E5">
      <w:pPr>
        <w:pStyle w:val="NoSpacing"/>
      </w:pPr>
      <w:r w:rsidRPr="00655794">
        <w:t>For cases in the residual category, the prejudice element is concerned with whether the state conduct, usually but not always misconduct, offends societal notions of fair play and decency and whether proceeding with a trial in the face of that conduct would harm the integrity of the justice system.</w:t>
      </w:r>
    </w:p>
    <w:p w14:paraId="060D4DCF" w14:textId="77777777" w:rsidR="00655794" w:rsidRPr="00655794" w:rsidRDefault="00655794" w:rsidP="000B18E5">
      <w:pPr>
        <w:pStyle w:val="NoSpacing"/>
      </w:pPr>
    </w:p>
    <w:p w14:paraId="53C56DD3" w14:textId="77777777" w:rsidR="00655794" w:rsidRDefault="00655794" w:rsidP="000B18E5">
      <w:pPr>
        <w:pStyle w:val="NoSpacing"/>
      </w:pPr>
      <w:r w:rsidRPr="00655794">
        <w:t>In connection with the remedy element, the question is whether some remedy short of a stay is capable of redressing the prejudice. The spectrum of available remedies depends on the nature of the prejudice involved. Where the main category is implicated, with its concern about trial fairness, the focus is on restitution of an accused's right to a fair trial. For the residual category, where the claim has to do with prejudice to the integrity of the justice system, the focus is on whether something less than a stay will adequately dissociate the justice system from the state conduct going forward</w:t>
      </w:r>
      <w:r>
        <w:t>.</w:t>
      </w:r>
    </w:p>
    <w:p w14:paraId="17928608" w14:textId="5F4777A2" w:rsidR="00655794" w:rsidRPr="00655794" w:rsidRDefault="00655794" w:rsidP="000B18E5">
      <w:pPr>
        <w:pStyle w:val="NoSpacing"/>
      </w:pPr>
      <w:r w:rsidRPr="00655794">
        <w:t> </w:t>
      </w:r>
    </w:p>
    <w:p w14:paraId="6B2C9FEB" w14:textId="77777777" w:rsidR="00655794" w:rsidRPr="00655794" w:rsidRDefault="00655794" w:rsidP="000B18E5">
      <w:pPr>
        <w:pStyle w:val="NoSpacing"/>
      </w:pPr>
      <w:r w:rsidRPr="00655794">
        <w:t>The balancing element assumes added importance for cases that invoke the residual category. The task of the court is to decide which of two options better protects the integrity of the justice system: staying the proceedings or having a trial despite the challenged conduct. Relevant factors include but are not limited to:</w:t>
      </w:r>
    </w:p>
    <w:p w14:paraId="29FFF15C" w14:textId="77777777" w:rsidR="00655794" w:rsidRPr="00655794" w:rsidRDefault="00655794" w:rsidP="000B18E5">
      <w:pPr>
        <w:pStyle w:val="NoSpacing"/>
      </w:pPr>
      <w:r w:rsidRPr="00655794">
        <w:t>i.             the seriousness of the state conduct;</w:t>
      </w:r>
    </w:p>
    <w:p w14:paraId="5ADB1AFB" w14:textId="77777777" w:rsidR="00655794" w:rsidRPr="00655794" w:rsidRDefault="00655794" w:rsidP="000B18E5">
      <w:pPr>
        <w:pStyle w:val="NoSpacing"/>
      </w:pPr>
      <w:r w:rsidRPr="00655794">
        <w:t>ii.            the systemic or isolated nature of the conduct;</w:t>
      </w:r>
    </w:p>
    <w:p w14:paraId="22A6F0BE" w14:textId="77777777" w:rsidR="00655794" w:rsidRPr="00655794" w:rsidRDefault="00655794" w:rsidP="000B18E5">
      <w:pPr>
        <w:pStyle w:val="NoSpacing"/>
      </w:pPr>
      <w:r w:rsidRPr="00655794">
        <w:t>iii.           the circumstances of the accused;</w:t>
      </w:r>
    </w:p>
    <w:p w14:paraId="796E6F87" w14:textId="77777777" w:rsidR="00655794" w:rsidRPr="00655794" w:rsidRDefault="00655794" w:rsidP="000B18E5">
      <w:pPr>
        <w:pStyle w:val="NoSpacing"/>
      </w:pPr>
      <w:r w:rsidRPr="00655794">
        <w:t>iv.           the offences charged; and</w:t>
      </w:r>
    </w:p>
    <w:p w14:paraId="6B209754" w14:textId="77777777" w:rsidR="00655794" w:rsidRDefault="00655794" w:rsidP="000B18E5">
      <w:pPr>
        <w:pStyle w:val="NoSpacing"/>
      </w:pPr>
      <w:r w:rsidRPr="00655794">
        <w:t>v.            society’s interest in a trial on the merits</w:t>
      </w:r>
      <w:r>
        <w:t xml:space="preserve"> </w:t>
      </w:r>
    </w:p>
    <w:p w14:paraId="1530ECF0" w14:textId="5BF79267" w:rsidR="00655794" w:rsidRDefault="00655794" w:rsidP="000B18E5">
      <w:pPr>
        <w:pStyle w:val="NoSpacing"/>
      </w:pPr>
    </w:p>
    <w:p w14:paraId="1CB98B53" w14:textId="73580BB0" w:rsidR="00655794" w:rsidRPr="00655794" w:rsidRDefault="00655794" w:rsidP="000B18E5">
      <w:pPr>
        <w:pStyle w:val="NoSpacing"/>
      </w:pPr>
      <w:r w:rsidRPr="00655794">
        <w:t>An accused who seeks a stay under the residual category faces an onerous burden. This follows from the combined effect of the “clearest of cases” threshold and the balancing of societal interests that must take place in such cases. Cases warranting a stay will be “exceptional” and “very rare". A stay will be entered only where the affront to fair play and decency is disproportionate to society’s interest in the effective prosecution of criminal cases: </w:t>
      </w:r>
      <w:r>
        <w:rPr>
          <w:i/>
        </w:rPr>
        <w:t xml:space="preserve">R v Ke, </w:t>
      </w:r>
      <w:hyperlink r:id="rId417" w:history="1">
        <w:r w:rsidRPr="00655794">
          <w:rPr>
            <w:rStyle w:val="Hyperlink"/>
          </w:rPr>
          <w:t>2021 ONCA 179</w:t>
        </w:r>
      </w:hyperlink>
      <w:r>
        <w:t>, at paras 75-82</w:t>
      </w:r>
    </w:p>
    <w:p w14:paraId="01DF53B8" w14:textId="77777777" w:rsidR="00655794" w:rsidRPr="00BB3634" w:rsidRDefault="00655794" w:rsidP="000B18E5">
      <w:pPr>
        <w:pStyle w:val="NoSpacing"/>
      </w:pPr>
    </w:p>
    <w:p w14:paraId="752FA73B" w14:textId="7569FE1A" w:rsidR="00081BE6" w:rsidRDefault="005C0227" w:rsidP="00BB3634">
      <w:pPr>
        <w:spacing w:before="100" w:beforeAutospacing="1" w:after="100" w:afterAutospacing="1" w:line="276" w:lineRule="auto"/>
        <w:jc w:val="both"/>
        <w:rPr>
          <w:rFonts w:ascii="Arial" w:hAnsi="Arial" w:cs="Arial"/>
        </w:rPr>
      </w:pPr>
      <w:r w:rsidRPr="00BB3634">
        <w:rPr>
          <w:rFonts w:ascii="Arial" w:hAnsi="Arial" w:cs="Arial"/>
        </w:rPr>
        <w:t xml:space="preserve">A stay is a prospective remedy, not a redress for past state misconduct: </w:t>
      </w:r>
      <w:r w:rsidRPr="00BB3634">
        <w:rPr>
          <w:rFonts w:ascii="Arial" w:hAnsi="Arial" w:cs="Arial"/>
          <w:i/>
        </w:rPr>
        <w:t>R v Gowdy,</w:t>
      </w:r>
      <w:r w:rsidRPr="00BB3634">
        <w:rPr>
          <w:rFonts w:ascii="Arial" w:hAnsi="Arial" w:cs="Arial"/>
        </w:rPr>
        <w:t xml:space="preserve"> </w:t>
      </w:r>
      <w:hyperlink r:id="rId418" w:history="1">
        <w:r w:rsidRPr="00BB3634">
          <w:rPr>
            <w:rStyle w:val="Hyperlink"/>
            <w:rFonts w:ascii="Arial" w:hAnsi="Arial" w:cs="Arial"/>
          </w:rPr>
          <w:t>2016 ONCA 989</w:t>
        </w:r>
      </w:hyperlink>
      <w:r w:rsidR="00D743FB" w:rsidRPr="00BB3634">
        <w:rPr>
          <w:rFonts w:ascii="Arial" w:hAnsi="Arial" w:cs="Arial"/>
        </w:rPr>
        <w:t>​</w:t>
      </w:r>
    </w:p>
    <w:p w14:paraId="7100ADC2" w14:textId="77777777" w:rsidR="00D75887" w:rsidRPr="00BB3634" w:rsidRDefault="00D75887" w:rsidP="00BB3634">
      <w:pPr>
        <w:spacing w:before="100" w:beforeAutospacing="1" w:after="100" w:afterAutospacing="1" w:line="276" w:lineRule="auto"/>
        <w:jc w:val="both"/>
        <w:rPr>
          <w:rFonts w:ascii="Arial" w:hAnsi="Arial" w:cs="Arial"/>
        </w:rPr>
      </w:pPr>
    </w:p>
    <w:p w14:paraId="4216D281" w14:textId="4ADAE11F" w:rsidR="00D75887" w:rsidRPr="00BB3634" w:rsidRDefault="00D75887" w:rsidP="00BB3634">
      <w:pPr>
        <w:pStyle w:val="Heading2"/>
        <w:spacing w:line="276" w:lineRule="auto"/>
        <w:rPr>
          <w:rFonts w:cs="Arial"/>
        </w:rPr>
      </w:pPr>
      <w:bookmarkStart w:id="166" w:name="_Toc94360246"/>
      <w:r w:rsidRPr="00BB3634">
        <w:rPr>
          <w:rFonts w:cs="Arial"/>
        </w:rPr>
        <w:lastRenderedPageBreak/>
        <w:t xml:space="preserve">Remedy of </w:t>
      </w:r>
      <w:r w:rsidR="00D23AF9" w:rsidRPr="00BB3634">
        <w:rPr>
          <w:rFonts w:cs="Arial"/>
        </w:rPr>
        <w:t>S</w:t>
      </w:r>
      <w:r w:rsidRPr="00BB3634">
        <w:rPr>
          <w:rFonts w:cs="Arial"/>
        </w:rPr>
        <w:t xml:space="preserve">entence </w:t>
      </w:r>
      <w:r w:rsidR="00D23AF9" w:rsidRPr="00BB3634">
        <w:rPr>
          <w:rFonts w:cs="Arial"/>
        </w:rPr>
        <w:t>D</w:t>
      </w:r>
      <w:r w:rsidRPr="00BB3634">
        <w:rPr>
          <w:rFonts w:cs="Arial"/>
        </w:rPr>
        <w:t>eduction</w:t>
      </w:r>
      <w:bookmarkEnd w:id="166"/>
    </w:p>
    <w:p w14:paraId="263CF31A" w14:textId="77777777" w:rsidR="00D75887" w:rsidRPr="00BB3634" w:rsidRDefault="00D75887" w:rsidP="00BB3634">
      <w:pPr>
        <w:spacing w:line="276" w:lineRule="auto"/>
        <w:rPr>
          <w:rFonts w:ascii="Arial" w:hAnsi="Arial" w:cs="Arial"/>
        </w:rPr>
      </w:pPr>
    </w:p>
    <w:p w14:paraId="586DF0F3" w14:textId="53A221C0" w:rsidR="00D75887" w:rsidRPr="00BB3634" w:rsidRDefault="00D75887" w:rsidP="000B18E5">
      <w:pPr>
        <w:pStyle w:val="NoSpacing"/>
        <w:rPr>
          <w:rStyle w:val="Hyperlink"/>
        </w:rPr>
      </w:pPr>
      <w:r w:rsidRPr="00BB3634">
        <w:t>While state misconduct can mitigate a sentence, the general rule is that a sentence reduction outside statutory limits is not an appropriate remedy under s.24(1) unless the constitutionality of the sta</w:t>
      </w:r>
      <w:r w:rsidR="00A17BF3">
        <w:t>s</w:t>
      </w:r>
      <w:r w:rsidRPr="00BB3634">
        <w:t xml:space="preserve">tutory limit itself is challenged. Such a remedy would only be appropriate in exceptional cases: </w:t>
      </w:r>
      <w:r w:rsidRPr="00BB3634">
        <w:rPr>
          <w:i/>
        </w:rPr>
        <w:t xml:space="preserve">R v Gowdy, </w:t>
      </w:r>
      <w:hyperlink r:id="rId419" w:history="1">
        <w:r w:rsidRPr="00BB3634">
          <w:rPr>
            <w:rStyle w:val="Hyperlink"/>
          </w:rPr>
          <w:t>2016 ONCA 989</w:t>
        </w:r>
      </w:hyperlink>
      <w:r w:rsidRPr="00BB3634">
        <w:t xml:space="preserve">​; </w:t>
      </w:r>
      <w:r w:rsidRPr="00BB3634">
        <w:rPr>
          <w:i/>
        </w:rPr>
        <w:t xml:space="preserve">R v Donnelly, </w:t>
      </w:r>
      <w:hyperlink r:id="rId420" w:history="1">
        <w:r w:rsidRPr="00BB3634">
          <w:rPr>
            <w:rStyle w:val="Hyperlink"/>
          </w:rPr>
          <w:t>2016 ONCA 998</w:t>
        </w:r>
      </w:hyperlink>
    </w:p>
    <w:p w14:paraId="4BEA7E1D" w14:textId="2EDB4B35" w:rsidR="009F5758" w:rsidRPr="00BB3634" w:rsidRDefault="009F5758" w:rsidP="000B18E5">
      <w:pPr>
        <w:pStyle w:val="NoSpacing"/>
        <w:rPr>
          <w:rStyle w:val="Hyperlink"/>
        </w:rPr>
      </w:pPr>
    </w:p>
    <w:p w14:paraId="046C58B3" w14:textId="72E5D351" w:rsidR="009F5758" w:rsidRPr="00BB3634" w:rsidRDefault="009F5758" w:rsidP="000B18E5">
      <w:pPr>
        <w:pStyle w:val="NoSpacing"/>
      </w:pPr>
      <w:r w:rsidRPr="00BB3634">
        <w:t>Even in circumstances where there has been a breach of the accused’s </w:t>
      </w:r>
      <w:r w:rsidRPr="00BB3634">
        <w:rPr>
          <w:i/>
        </w:rPr>
        <w:t>Charter</w:t>
      </w:r>
      <w:r w:rsidRPr="00BB3634">
        <w:t xml:space="preserve"> rights warranting a remedy under s. 24(1), it would not be appropriate to grant a sentence reduction where the circumstances are unrelated to the offence: </w:t>
      </w:r>
      <w:r w:rsidRPr="00BB3634">
        <w:rPr>
          <w:i/>
        </w:rPr>
        <w:t xml:space="preserve">R v AS, </w:t>
      </w:r>
      <w:hyperlink r:id="rId421" w:history="1">
        <w:r w:rsidRPr="00BB3634">
          <w:rPr>
            <w:rStyle w:val="Hyperlink"/>
            <w:iCs w:val="0"/>
          </w:rPr>
          <w:t>2019 ONCA 900</w:t>
        </w:r>
      </w:hyperlink>
      <w:r w:rsidRPr="00BB3634">
        <w:t>, at para 29</w:t>
      </w:r>
      <w:r w:rsidR="00AE0D95" w:rsidRPr="00BB3634">
        <w:t>;</w:t>
      </w:r>
      <w:r w:rsidR="001771AA" w:rsidRPr="00BB3634">
        <w:t xml:space="preserve"> </w:t>
      </w:r>
      <w:r w:rsidR="001771AA" w:rsidRPr="00BB3634">
        <w:rPr>
          <w:i/>
        </w:rPr>
        <w:t xml:space="preserve">R v Thompson, </w:t>
      </w:r>
      <w:hyperlink r:id="rId422" w:history="1">
        <w:r w:rsidR="001771AA" w:rsidRPr="00BB3634">
          <w:rPr>
            <w:rStyle w:val="Hyperlink"/>
          </w:rPr>
          <w:t>2020 ONCA 361</w:t>
        </w:r>
      </w:hyperlink>
      <w:r w:rsidR="001771AA" w:rsidRPr="00BB3634">
        <w:t>, at para 17</w:t>
      </w:r>
      <w:r w:rsidR="00AE0D95" w:rsidRPr="00BB3634">
        <w:t xml:space="preserve"> </w:t>
      </w:r>
    </w:p>
    <w:p w14:paraId="4B937AC2" w14:textId="77777777" w:rsidR="009F5758" w:rsidRPr="00BB3634" w:rsidRDefault="009F5758" w:rsidP="00BB3634">
      <w:pPr>
        <w:spacing w:line="276" w:lineRule="auto"/>
        <w:rPr>
          <w:rFonts w:ascii="Arial" w:hAnsi="Arial" w:cs="Arial"/>
        </w:rPr>
      </w:pPr>
    </w:p>
    <w:p w14:paraId="2DE0F258" w14:textId="77777777" w:rsidR="009F5758" w:rsidRPr="00BB3634" w:rsidRDefault="009F5758" w:rsidP="000B18E5">
      <w:pPr>
        <w:pStyle w:val="NoSpacing"/>
      </w:pPr>
    </w:p>
    <w:p w14:paraId="0B46EBC4" w14:textId="77777777" w:rsidR="00D75887" w:rsidRPr="00BB3634" w:rsidRDefault="00D75887" w:rsidP="00BB3634">
      <w:pPr>
        <w:spacing w:line="276" w:lineRule="auto"/>
        <w:rPr>
          <w:rFonts w:ascii="Arial" w:hAnsi="Arial" w:cs="Arial"/>
        </w:rPr>
      </w:pPr>
    </w:p>
    <w:p w14:paraId="2DC49FC0" w14:textId="3B608581" w:rsidR="00BF14D7" w:rsidRPr="00BB3634" w:rsidRDefault="009C2A75" w:rsidP="00BB3634">
      <w:pPr>
        <w:pStyle w:val="Heading1"/>
        <w:spacing w:line="276" w:lineRule="auto"/>
        <w:rPr>
          <w:sz w:val="24"/>
          <w:szCs w:val="24"/>
        </w:rPr>
      </w:pPr>
      <w:bookmarkStart w:id="167" w:name="_Toc94360247"/>
      <w:r w:rsidRPr="00BB3634">
        <w:rPr>
          <w:sz w:val="24"/>
          <w:szCs w:val="24"/>
        </w:rPr>
        <w:t>SECTION 24(2)</w:t>
      </w:r>
      <w:bookmarkEnd w:id="167"/>
    </w:p>
    <w:p w14:paraId="3E703D73" w14:textId="75F4941B" w:rsidR="00691ADB" w:rsidRPr="00BB3634" w:rsidRDefault="00691ADB" w:rsidP="00BB3634">
      <w:pPr>
        <w:pStyle w:val="Heading2"/>
        <w:numPr>
          <w:ilvl w:val="0"/>
          <w:numId w:val="10"/>
        </w:numPr>
        <w:spacing w:line="276" w:lineRule="auto"/>
        <w:ind w:left="360"/>
        <w:rPr>
          <w:rFonts w:cs="Arial"/>
        </w:rPr>
      </w:pPr>
      <w:bookmarkStart w:id="168" w:name="_Toc94360248"/>
      <w:r w:rsidRPr="00BB3634">
        <w:rPr>
          <w:rFonts w:cs="Arial"/>
        </w:rPr>
        <w:t>Standard of Review</w:t>
      </w:r>
      <w:bookmarkEnd w:id="168"/>
    </w:p>
    <w:p w14:paraId="72F22AC2" w14:textId="6593D4C6" w:rsidR="00691ADB" w:rsidRPr="00BB3634" w:rsidRDefault="00691ADB" w:rsidP="000B18E5">
      <w:pPr>
        <w:pStyle w:val="NoSpacing"/>
      </w:pPr>
      <w:r w:rsidRPr="00BB3634">
        <w:t xml:space="preserve">Absent legal error, a palpable and overriding error, or an unreasonable conclusion, </w:t>
      </w:r>
      <w:r w:rsidR="00551A4E" w:rsidRPr="00BB3634">
        <w:t>the appellate</w:t>
      </w:r>
      <w:r w:rsidRPr="00BB3634">
        <w:t xml:space="preserve"> court </w:t>
      </w:r>
      <w:r w:rsidR="00551A4E" w:rsidRPr="00BB3634">
        <w:t>must defer</w:t>
      </w:r>
      <w:r w:rsidRPr="00BB3634">
        <w:t xml:space="preserve"> to the trial judge’s ruling: </w:t>
      </w:r>
      <w:r w:rsidRPr="00BB3634">
        <w:rPr>
          <w:i/>
        </w:rPr>
        <w:t>R v Hall, </w:t>
      </w:r>
      <w:r w:rsidRPr="00BB3634">
        <w:rPr>
          <w:u w:val="single"/>
        </w:rPr>
        <w:t xml:space="preserve">2016 ONCA 013 </w:t>
      </w:r>
      <w:r w:rsidRPr="00BB3634">
        <w:t>at para 63; </w:t>
      </w:r>
      <w:r w:rsidRPr="00BB3634">
        <w:rPr>
          <w:i/>
        </w:rPr>
        <w:t>R v Ting, </w:t>
      </w:r>
      <w:r w:rsidRPr="00BB3634">
        <w:rPr>
          <w:u w:val="single"/>
        </w:rPr>
        <w:t>2016 ONCA 57</w:t>
      </w:r>
      <w:r w:rsidRPr="00BB3634">
        <w:t> at para 74</w:t>
      </w:r>
      <w:r w:rsidR="00551A4E" w:rsidRPr="00BB3634">
        <w:t xml:space="preserve">; </w:t>
      </w:r>
      <w:r w:rsidR="00551A4E" w:rsidRPr="00BB3634">
        <w:rPr>
          <w:i/>
        </w:rPr>
        <w:t>R. v. McGuffie</w:t>
      </w:r>
      <w:r w:rsidR="00551A4E" w:rsidRPr="00BB3634">
        <w:t xml:space="preserve">, 2016 ONCA 365, at para. 64; </w:t>
      </w:r>
      <w:r w:rsidR="00551A4E" w:rsidRPr="00BB3634">
        <w:rPr>
          <w:i/>
        </w:rPr>
        <w:t xml:space="preserve">R v Gonzales, </w:t>
      </w:r>
      <w:hyperlink r:id="rId423" w:history="1">
        <w:r w:rsidR="00551A4E" w:rsidRPr="00BB3634">
          <w:rPr>
            <w:rStyle w:val="Hyperlink"/>
          </w:rPr>
          <w:t>2017 ONCA 543</w:t>
        </w:r>
      </w:hyperlink>
      <w:r w:rsidR="00551A4E" w:rsidRPr="00BB3634">
        <w:t xml:space="preserve"> at para 161</w:t>
      </w:r>
    </w:p>
    <w:p w14:paraId="09D219A0" w14:textId="77777777" w:rsidR="00CE16CD" w:rsidRPr="00BB3634" w:rsidRDefault="00CE16CD" w:rsidP="000B18E5">
      <w:pPr>
        <w:pStyle w:val="NoSpacing"/>
        <w:rPr>
          <w:rStyle w:val="wixguard"/>
        </w:rPr>
      </w:pPr>
    </w:p>
    <w:p w14:paraId="79F6843D" w14:textId="03814767" w:rsidR="00CE16CD" w:rsidRPr="00BB3634" w:rsidRDefault="00691ADB" w:rsidP="000B18E5">
      <w:pPr>
        <w:pStyle w:val="NoSpacing"/>
        <w:rPr>
          <w:rStyle w:val="wixguard"/>
        </w:rPr>
      </w:pPr>
      <w:r w:rsidRPr="00BB3634">
        <w:rPr>
          <w:rStyle w:val="wixguard"/>
        </w:rPr>
        <w:t>​</w:t>
      </w:r>
      <w:r w:rsidR="00CE16CD" w:rsidRPr="00BB3634">
        <w:rPr>
          <w:rStyle w:val="wixguard"/>
        </w:rPr>
        <w:t xml:space="preserve">Appellate intervention may also be warranted where </w:t>
      </w:r>
      <w:r w:rsidR="00CE16CD" w:rsidRPr="00BB3634">
        <w:t>the trial judge erred in law in his/her application of t</w:t>
      </w:r>
      <w:r w:rsidR="00DE3260" w:rsidRPr="00BB3634">
        <w:t xml:space="preserve">he legal test or principles or </w:t>
      </w:r>
      <w:r w:rsidR="00CE16CD" w:rsidRPr="00BB3634">
        <w:t xml:space="preserve">failed to consider relevant factors or circumstances that could affect whether admitting the evidence would bring the administration of justice into disrepute: </w:t>
      </w:r>
      <w:r w:rsidR="00CE16CD" w:rsidRPr="00BB3634">
        <w:rPr>
          <w:i/>
        </w:rPr>
        <w:t xml:space="preserve">R v Szilagyi, </w:t>
      </w:r>
      <w:hyperlink r:id="rId424" w:history="1">
        <w:r w:rsidR="00CE16CD" w:rsidRPr="00BB3634">
          <w:rPr>
            <w:rStyle w:val="Hyperlink"/>
          </w:rPr>
          <w:t>2018 ONCA 695</w:t>
        </w:r>
      </w:hyperlink>
      <w:r w:rsidR="00CE16CD" w:rsidRPr="00BB3634">
        <w:t xml:space="preserve"> at para 41</w:t>
      </w:r>
      <w:r w:rsidR="00C5562F" w:rsidRPr="00BB3634">
        <w:t xml:space="preserve">; </w:t>
      </w:r>
      <w:r w:rsidR="00C5562F" w:rsidRPr="00BB3634">
        <w:rPr>
          <w:i/>
        </w:rPr>
        <w:t xml:space="preserve">R v Omar, </w:t>
      </w:r>
      <w:hyperlink r:id="rId425" w:history="1">
        <w:r w:rsidR="00C5562F" w:rsidRPr="00BB3634">
          <w:rPr>
            <w:rStyle w:val="Hyperlink"/>
          </w:rPr>
          <w:t>2018 ONCA 975</w:t>
        </w:r>
      </w:hyperlink>
      <w:r w:rsidR="00C5562F" w:rsidRPr="00BB3634">
        <w:t>, at para 49</w:t>
      </w:r>
      <w:r w:rsidR="001F1734" w:rsidRPr="00BB3634">
        <w:t xml:space="preserve">; rev’d on other grounds at </w:t>
      </w:r>
      <w:hyperlink r:id="rId426" w:history="1">
        <w:r w:rsidR="001F1734" w:rsidRPr="00BB3634">
          <w:rPr>
            <w:rStyle w:val="Hyperlink"/>
          </w:rPr>
          <w:t>2019 SCC 32</w:t>
        </w:r>
      </w:hyperlink>
    </w:p>
    <w:p w14:paraId="30DFDA84" w14:textId="77777777" w:rsidR="004B2B77" w:rsidRPr="00BB3634" w:rsidRDefault="004B2B77" w:rsidP="000B18E5">
      <w:pPr>
        <w:pStyle w:val="NoSpacing"/>
      </w:pPr>
    </w:p>
    <w:p w14:paraId="1540BFFB" w14:textId="77777777" w:rsidR="00691ADB" w:rsidRPr="00BB3634" w:rsidRDefault="00691ADB" w:rsidP="000B18E5">
      <w:pPr>
        <w:pStyle w:val="NoSpacing"/>
      </w:pPr>
      <w:r w:rsidRPr="00BB3634">
        <w:t xml:space="preserve">Where the trial judge has considered the three lines of inquiry, appellate courts should defer to the trial judge’s ultimate decision. Deference is not warranted, however, where the trial judge’s reasoning on the application of s. 24(2) of </w:t>
      </w:r>
      <w:r w:rsidRPr="00BB3634">
        <w:lastRenderedPageBreak/>
        <w:t>the Charter was sparse, deficient and erroneous in material ways: </w:t>
      </w:r>
      <w:r w:rsidRPr="00BB3634">
        <w:rPr>
          <w:i/>
        </w:rPr>
        <w:t>R v Harflett</w:t>
      </w:r>
      <w:r w:rsidRPr="00BB3634">
        <w:t>, </w:t>
      </w:r>
      <w:r w:rsidRPr="00BB3634">
        <w:rPr>
          <w:u w:val="single"/>
        </w:rPr>
        <w:t xml:space="preserve">2016 ONCA 248 </w:t>
      </w:r>
      <w:r w:rsidRPr="00BB3634">
        <w:t>at para 55</w:t>
      </w:r>
    </w:p>
    <w:p w14:paraId="7011BED2" w14:textId="77777777" w:rsidR="00691ADB" w:rsidRPr="00BB3634" w:rsidRDefault="00691ADB" w:rsidP="000B18E5">
      <w:pPr>
        <w:pStyle w:val="NoSpacing"/>
      </w:pPr>
    </w:p>
    <w:p w14:paraId="73D278CB" w14:textId="77777777" w:rsidR="00691ADB" w:rsidRPr="00BB3634" w:rsidRDefault="00691ADB" w:rsidP="000B18E5">
      <w:pPr>
        <w:pStyle w:val="NoSpacing"/>
      </w:pPr>
      <w:r w:rsidRPr="00BB3634">
        <w:t xml:space="preserve">Where the appeal court considers the trial judge’s finding of no charter breach to be in error, the appeal court owes no deference to the trial judge’s section 24(2) analysis: </w:t>
      </w:r>
      <w:r w:rsidRPr="00BB3634">
        <w:rPr>
          <w:i/>
        </w:rPr>
        <w:t>R v. Wong</w:t>
      </w:r>
      <w:r w:rsidRPr="00BB3634">
        <w:t>, 2015 ONCA 657</w:t>
      </w:r>
    </w:p>
    <w:p w14:paraId="6C710359" w14:textId="77777777" w:rsidR="00691ADB" w:rsidRPr="00BB3634" w:rsidRDefault="00691ADB" w:rsidP="000B18E5">
      <w:pPr>
        <w:pStyle w:val="NoSpacing"/>
      </w:pPr>
    </w:p>
    <w:p w14:paraId="1061067C" w14:textId="42C7DCA1" w:rsidR="00BD2AF7" w:rsidRPr="00BB3634" w:rsidRDefault="00BD2AF7" w:rsidP="000B18E5">
      <w:pPr>
        <w:pStyle w:val="NoSpacing"/>
      </w:pPr>
      <w:r w:rsidRPr="00BB3634">
        <w:t xml:space="preserve">When the trial judge did not find a </w:t>
      </w:r>
      <w:r w:rsidRPr="00BB3634">
        <w:rPr>
          <w:i/>
        </w:rPr>
        <w:t xml:space="preserve">Charter </w:t>
      </w:r>
      <w:r w:rsidRPr="00BB3634">
        <w:t xml:space="preserve">violation and therefore did not undertake a </w:t>
      </w:r>
      <w:r w:rsidR="00680705" w:rsidRPr="00BB3634">
        <w:t>s.</w:t>
      </w:r>
      <w:r w:rsidRPr="00BB3634">
        <w:t xml:space="preserve"> 24(2) analysis, an appellate court may, upon finding a </w:t>
      </w:r>
      <w:r w:rsidRPr="00BB3634">
        <w:rPr>
          <w:i/>
        </w:rPr>
        <w:t xml:space="preserve">Charter </w:t>
      </w:r>
      <w:r w:rsidR="00680705" w:rsidRPr="00BB3634">
        <w:t>violation, conduct it’s own</w:t>
      </w:r>
      <w:r w:rsidRPr="00BB3634">
        <w:t xml:space="preserve"> 24(2) analysis</w:t>
      </w:r>
      <w:r w:rsidR="00680705" w:rsidRPr="00BB3634">
        <w:t>,</w:t>
      </w:r>
      <w:r w:rsidRPr="00BB3634">
        <w:t xml:space="preserve"> provided that there is a sufficient evidentiary record to do so. Otherwise, the appellate court may </w:t>
      </w:r>
      <w:r w:rsidR="00680705" w:rsidRPr="00BB3634">
        <w:t>remit</w:t>
      </w:r>
      <w:r w:rsidRPr="00BB3634">
        <w:t xml:space="preserve"> the matter to the trial judge</w:t>
      </w:r>
      <w:r w:rsidR="00680705" w:rsidRPr="00BB3634">
        <w:t xml:space="preserve"> to determine the issue: see, for example, </w:t>
      </w:r>
      <w:r w:rsidR="00680705" w:rsidRPr="00BB3634">
        <w:rPr>
          <w:i/>
        </w:rPr>
        <w:t xml:space="preserve">R v Pilon, </w:t>
      </w:r>
      <w:hyperlink r:id="rId427" w:history="1">
        <w:r w:rsidR="00680705" w:rsidRPr="00BB3634">
          <w:rPr>
            <w:rStyle w:val="Hyperlink"/>
          </w:rPr>
          <w:t>2018 ONCA 959</w:t>
        </w:r>
      </w:hyperlink>
      <w:r w:rsidR="00680705" w:rsidRPr="00BB3634">
        <w:t xml:space="preserve">, at para 43; </w:t>
      </w:r>
      <w:r w:rsidR="00680705" w:rsidRPr="00BB3634">
        <w:rPr>
          <w:i/>
        </w:rPr>
        <w:t xml:space="preserve">R v </w:t>
      </w:r>
      <w:r w:rsidR="0054682B" w:rsidRPr="00BB3634">
        <w:rPr>
          <w:i/>
        </w:rPr>
        <w:t xml:space="preserve">Ritchie, </w:t>
      </w:r>
      <w:hyperlink r:id="rId428" w:history="1">
        <w:r w:rsidR="0054682B" w:rsidRPr="00BB3634">
          <w:rPr>
            <w:rStyle w:val="Hyperlink"/>
          </w:rPr>
          <w:t>2018 ONCA 918,</w:t>
        </w:r>
      </w:hyperlink>
      <w:r w:rsidR="0054682B" w:rsidRPr="00BB3634">
        <w:t xml:space="preserve"> at para 19</w:t>
      </w:r>
    </w:p>
    <w:p w14:paraId="0867D579" w14:textId="1275334A" w:rsidR="004F3724" w:rsidRPr="00BB3634" w:rsidRDefault="004F3724" w:rsidP="000B18E5">
      <w:pPr>
        <w:pStyle w:val="NoSpacing"/>
      </w:pPr>
    </w:p>
    <w:p w14:paraId="48A144E8" w14:textId="3C1F050B" w:rsidR="004F3724" w:rsidRPr="00BB3634" w:rsidRDefault="004F3724" w:rsidP="000B18E5">
      <w:pPr>
        <w:pStyle w:val="NoSpacing"/>
      </w:pPr>
      <w:r w:rsidRPr="00BB3634">
        <w:t>The trial judge’s failure to properly consider the cumulative effect of the various </w:t>
      </w:r>
      <w:r w:rsidRPr="00BB3634">
        <w:rPr>
          <w:i/>
        </w:rPr>
        <w:t>Charter</w:t>
      </w:r>
      <w:r w:rsidRPr="00BB3634">
        <w:t> breaches is, itself, an error in principle: </w:t>
      </w:r>
      <w:r w:rsidRPr="00BB3634">
        <w:rPr>
          <w:i/>
        </w:rPr>
        <w:t xml:space="preserve">R v Adler, </w:t>
      </w:r>
      <w:hyperlink r:id="rId429" w:history="1">
        <w:r w:rsidRPr="00BB3634">
          <w:rPr>
            <w:rStyle w:val="Hyperlink"/>
          </w:rPr>
          <w:t>2020 ONCA 246</w:t>
        </w:r>
      </w:hyperlink>
      <w:r w:rsidRPr="00BB3634">
        <w:t>, at para 39</w:t>
      </w:r>
    </w:p>
    <w:p w14:paraId="353D576E" w14:textId="77777777" w:rsidR="004F3724" w:rsidRPr="00BB3634" w:rsidRDefault="004F3724" w:rsidP="000B18E5">
      <w:pPr>
        <w:pStyle w:val="NoSpacing"/>
      </w:pPr>
    </w:p>
    <w:p w14:paraId="29979E7D" w14:textId="6A80D03D" w:rsidR="00691ADB" w:rsidRPr="00BB3634" w:rsidRDefault="00691ADB" w:rsidP="00BB3634">
      <w:pPr>
        <w:pStyle w:val="Heading2"/>
        <w:numPr>
          <w:ilvl w:val="0"/>
          <w:numId w:val="10"/>
        </w:numPr>
        <w:spacing w:line="276" w:lineRule="auto"/>
        <w:ind w:left="360"/>
        <w:rPr>
          <w:rFonts w:cs="Arial"/>
        </w:rPr>
      </w:pPr>
      <w:bookmarkStart w:id="169" w:name="_Toc94360249"/>
      <w:r w:rsidRPr="00BB3634">
        <w:rPr>
          <w:rFonts w:cs="Arial"/>
        </w:rPr>
        <w:t>The Test</w:t>
      </w:r>
      <w:bookmarkEnd w:id="169"/>
    </w:p>
    <w:p w14:paraId="1D9B4C3A" w14:textId="65C52D69" w:rsidR="00691ADB" w:rsidRPr="00BB3634" w:rsidRDefault="00691ADB" w:rsidP="00E32F34">
      <w:pPr>
        <w:pStyle w:val="Heading3"/>
        <w:numPr>
          <w:ilvl w:val="0"/>
          <w:numId w:val="60"/>
        </w:numPr>
      </w:pPr>
      <w:bookmarkStart w:id="170" w:name="_Toc94360250"/>
      <w:r w:rsidRPr="00BB3634">
        <w:t>Precondition: Obtained in a manner</w:t>
      </w:r>
      <w:bookmarkEnd w:id="170"/>
    </w:p>
    <w:p w14:paraId="69C8214A" w14:textId="77777777" w:rsidR="00691ADB" w:rsidRPr="00BB3634" w:rsidRDefault="00691ADB" w:rsidP="000B18E5">
      <w:pPr>
        <w:pStyle w:val="NoSpacing"/>
      </w:pPr>
      <w:r w:rsidRPr="00BB3634">
        <w:t>The connection between the breach and the obtaining of the evidence may be temporal, contextual, causal, or a combination of the three. The connection must be more than tenuous:​ </w:t>
      </w:r>
      <w:r w:rsidRPr="00BB3634">
        <w:rPr>
          <w:i/>
        </w:rPr>
        <w:t>Coderre </w:t>
      </w:r>
      <w:r w:rsidRPr="00BB3634">
        <w:t>at paras 14-18</w:t>
      </w:r>
    </w:p>
    <w:p w14:paraId="6031F071" w14:textId="77777777" w:rsidR="00186F74" w:rsidRPr="00BB3634" w:rsidRDefault="00186F74" w:rsidP="000B18E5">
      <w:pPr>
        <w:pStyle w:val="NoSpacing"/>
      </w:pPr>
    </w:p>
    <w:p w14:paraId="76E20C98" w14:textId="58769B0C" w:rsidR="00186F74" w:rsidRPr="00BB3634" w:rsidRDefault="00186F74" w:rsidP="000B18E5">
      <w:pPr>
        <w:pStyle w:val="NoSpacing"/>
      </w:pPr>
      <w:r w:rsidRPr="00BB3634">
        <w:t xml:space="preserve">Indeed, a temporal connection alone may be sufficient to meet the “obtained in a manner” criterion: </w:t>
      </w:r>
      <w:r w:rsidRPr="00BB3634">
        <w:rPr>
          <w:i/>
        </w:rPr>
        <w:t xml:space="preserve">R v Rover, </w:t>
      </w:r>
      <w:hyperlink r:id="rId430" w:history="1">
        <w:r w:rsidRPr="00BB3634">
          <w:rPr>
            <w:rStyle w:val="Hyperlink"/>
          </w:rPr>
          <w:t>2018 ONCA</w:t>
        </w:r>
        <w:r w:rsidR="000F4612" w:rsidRPr="00BB3634">
          <w:rPr>
            <w:rStyle w:val="Hyperlink"/>
          </w:rPr>
          <w:t xml:space="preserve"> 745</w:t>
        </w:r>
      </w:hyperlink>
      <w:r w:rsidR="000F4612" w:rsidRPr="00BB3634">
        <w:t xml:space="preserve"> at para 35</w:t>
      </w:r>
    </w:p>
    <w:p w14:paraId="4980FC82" w14:textId="77777777" w:rsidR="0072012B" w:rsidRPr="00BB3634" w:rsidRDefault="0072012B" w:rsidP="000B18E5">
      <w:pPr>
        <w:pStyle w:val="NoSpacing"/>
      </w:pPr>
    </w:p>
    <w:p w14:paraId="3708D77C" w14:textId="77777777" w:rsidR="0072012B" w:rsidRPr="00BB3634" w:rsidRDefault="0072012B" w:rsidP="000B18E5">
      <w:pPr>
        <w:pStyle w:val="NoSpacing"/>
      </w:pPr>
      <w:r w:rsidRPr="00BB3634">
        <w:t xml:space="preserve">A breach that does not have a causal, contextual, or temporal connection to the obtaining of evidence does not trigger 24(2). However, those breaches are not irrelevant to a 24(2) analysis that arises on other breaches that do have such a connection. If s. 24(2) is engaged, the conduct of the police throughout their investigation and even throughout the prosecution, are germane to the admissibility inquiry required under s. 24(2): </w:t>
      </w:r>
      <w:r w:rsidRPr="00BB3634">
        <w:rPr>
          <w:i/>
        </w:rPr>
        <w:t xml:space="preserve">R v Boutros, </w:t>
      </w:r>
      <w:hyperlink r:id="rId431" w:history="1">
        <w:r w:rsidRPr="00BB3634">
          <w:rPr>
            <w:rStyle w:val="Hyperlink"/>
            <w:rFonts w:eastAsiaTheme="minorEastAsia"/>
          </w:rPr>
          <w:t>2018 ONCA 375</w:t>
        </w:r>
      </w:hyperlink>
      <w:r w:rsidRPr="00BB3634">
        <w:t xml:space="preserve"> at para 26 </w:t>
      </w:r>
    </w:p>
    <w:p w14:paraId="3DB1F404" w14:textId="4E9EF272" w:rsidR="00691ADB" w:rsidRPr="00BB3634" w:rsidRDefault="00691ADB" w:rsidP="000B18E5">
      <w:pPr>
        <w:pStyle w:val="NoSpacing"/>
      </w:pPr>
    </w:p>
    <w:p w14:paraId="54E5E65E" w14:textId="467CBC97" w:rsidR="008D6DAD" w:rsidRPr="00BB3634" w:rsidRDefault="00691ADB" w:rsidP="000B18E5">
      <w:pPr>
        <w:pStyle w:val="NoSpacing"/>
        <w:rPr>
          <w:u w:val="single"/>
        </w:rPr>
      </w:pPr>
      <w:r w:rsidRPr="00BB3634">
        <w:t xml:space="preserve">The “obtained in a manner” requirement allows the court, in an appropriate case, to exclude the evidence because of a Charter breach occurring after the </w:t>
      </w:r>
      <w:r w:rsidRPr="00BB3634">
        <w:lastRenderedPageBreak/>
        <w:t>evidence was discovered: </w:t>
      </w:r>
      <w:r w:rsidRPr="00BB3634">
        <w:rPr>
          <w:i/>
        </w:rPr>
        <w:t>R v Pino, </w:t>
      </w:r>
      <w:r w:rsidRPr="00BB3634">
        <w:rPr>
          <w:u w:val="single"/>
        </w:rPr>
        <w:t>2016 ONCA 389</w:t>
      </w:r>
      <w:r w:rsidRPr="00BB3634">
        <w:t xml:space="preserve"> at para 48; </w:t>
      </w:r>
      <w:r w:rsidRPr="00BB3634">
        <w:rPr>
          <w:i/>
        </w:rPr>
        <w:t xml:space="preserve">R v Shang En Wu, </w:t>
      </w:r>
      <w:r w:rsidRPr="00BB3634">
        <w:rPr>
          <w:u w:val="single"/>
        </w:rPr>
        <w:t>2017 ONSC 1003</w:t>
      </w:r>
    </w:p>
    <w:p w14:paraId="17FAFC54" w14:textId="77777777" w:rsidR="00583F0F" w:rsidRPr="00BB3634" w:rsidRDefault="00583F0F" w:rsidP="000B18E5">
      <w:pPr>
        <w:pStyle w:val="NoSpacing"/>
      </w:pPr>
    </w:p>
    <w:p w14:paraId="582E5824" w14:textId="4A6BD21B" w:rsidR="00583F0F" w:rsidRPr="00BB3634" w:rsidRDefault="00583F0F" w:rsidP="000B18E5">
      <w:pPr>
        <w:pStyle w:val="NoSpacing"/>
      </w:pPr>
      <w:r w:rsidRPr="00BB3634">
        <w:t>Evidence obtained pursuant to a lawful production order, or search warrant, may still be obtained “in a manner” that infringed a </w:t>
      </w:r>
      <w:r w:rsidRPr="00BB3634">
        <w:rPr>
          <w:i/>
        </w:rPr>
        <w:t>Charter</w:t>
      </w:r>
      <w:r w:rsidRPr="00BB3634">
        <w:t xml:space="preserve"> right, where unlawful police conduct was a component of the investigative process that lead to the issuance of the order or warrant: </w:t>
      </w:r>
      <w:r w:rsidR="0072012B" w:rsidRPr="00BB3634">
        <w:rPr>
          <w:i/>
        </w:rPr>
        <w:t xml:space="preserve">R v Boutras, </w:t>
      </w:r>
      <w:hyperlink r:id="rId432" w:history="1">
        <w:r w:rsidR="0072012B" w:rsidRPr="00BB3634">
          <w:rPr>
            <w:rStyle w:val="Hyperlink"/>
          </w:rPr>
          <w:t>2018 ONCA 375</w:t>
        </w:r>
      </w:hyperlink>
      <w:r w:rsidR="0072012B" w:rsidRPr="00BB3634">
        <w:t xml:space="preserve"> at paras 17-22</w:t>
      </w:r>
    </w:p>
    <w:p w14:paraId="12AEDB04" w14:textId="77777777" w:rsidR="00583F0F" w:rsidRPr="00BB3634" w:rsidRDefault="00583F0F" w:rsidP="000B18E5">
      <w:pPr>
        <w:pStyle w:val="NoSpacing"/>
      </w:pPr>
    </w:p>
    <w:p w14:paraId="3A5BC50C" w14:textId="77777777" w:rsidR="008D6DAD" w:rsidRPr="00BB3634" w:rsidRDefault="008D6DAD" w:rsidP="000B18E5">
      <w:pPr>
        <w:pStyle w:val="NoSpacing"/>
      </w:pPr>
    </w:p>
    <w:p w14:paraId="623B434E" w14:textId="0F09AA22" w:rsidR="00691ADB" w:rsidRPr="00BB3634" w:rsidRDefault="00691ADB" w:rsidP="007A6720">
      <w:pPr>
        <w:pStyle w:val="Heading3"/>
      </w:pPr>
      <w:bookmarkStart w:id="171" w:name="_Toc94360251"/>
      <w:r w:rsidRPr="00BB3634">
        <w:t>Step 1: Seriousness of the Breach</w:t>
      </w:r>
      <w:bookmarkEnd w:id="171"/>
    </w:p>
    <w:p w14:paraId="1BDF08F9" w14:textId="2B4FC8C6" w:rsidR="00C236E1" w:rsidRPr="00BB3634" w:rsidRDefault="00C236E1" w:rsidP="000B18E5">
      <w:pPr>
        <w:pStyle w:val="NoSpacing"/>
      </w:pPr>
      <w:r w:rsidRPr="00BB3634">
        <w:t>As a general rule, faced with genuine uncertainty, police should err on the side of caution by settling on a course of action that is more, rather than less respectful of the accused's privacy rights: </w:t>
      </w:r>
      <w:r w:rsidRPr="00BB3634">
        <w:rPr>
          <w:i/>
        </w:rPr>
        <w:t>R v Fearon</w:t>
      </w:r>
      <w:r w:rsidRPr="00BB3634">
        <w:t xml:space="preserve">, </w:t>
      </w:r>
      <w:hyperlink r:id="rId433" w:history="1">
        <w:r w:rsidRPr="00BB3634">
          <w:rPr>
            <w:rStyle w:val="Hyperlink"/>
          </w:rPr>
          <w:t>2014 SCC 47</w:t>
        </w:r>
      </w:hyperlink>
      <w:r w:rsidRPr="00BB3634">
        <w:t xml:space="preserve"> at para. 94.</w:t>
      </w:r>
    </w:p>
    <w:p w14:paraId="56680A6D" w14:textId="77777777" w:rsidR="00C236E1" w:rsidRPr="00BB3634" w:rsidRDefault="00C236E1" w:rsidP="000B18E5">
      <w:pPr>
        <w:pStyle w:val="NoSpacing"/>
      </w:pPr>
    </w:p>
    <w:p w14:paraId="1691EC7E" w14:textId="77777777" w:rsidR="00691ADB" w:rsidRPr="00BB3634" w:rsidRDefault="00691ADB" w:rsidP="000B18E5">
      <w:pPr>
        <w:pStyle w:val="NoSpacing"/>
      </w:pPr>
      <w:r w:rsidRPr="00BB3634">
        <w:t>The court must consider the seriousness of the violation, viewed in terms of the gravity of the offending conduct by state authorities whom the rule of law requires to uphold the rights guaranteed by the Charter: </w:t>
      </w:r>
      <w:r w:rsidRPr="00BB3634">
        <w:rPr>
          <w:i/>
        </w:rPr>
        <w:t>R v Coderre</w:t>
      </w:r>
      <w:r w:rsidRPr="00BB3634">
        <w:t>, </w:t>
      </w:r>
      <w:r w:rsidRPr="00BB3634">
        <w:rPr>
          <w:u w:val="single"/>
        </w:rPr>
        <w:t>2016 ONCA 276</w:t>
      </w:r>
      <w:r w:rsidRPr="00BB3634">
        <w:t xml:space="preserve"> at para 20</w:t>
      </w:r>
    </w:p>
    <w:p w14:paraId="772A597D" w14:textId="77777777" w:rsidR="00691ADB" w:rsidRPr="00BB3634" w:rsidRDefault="00691ADB" w:rsidP="000B18E5">
      <w:pPr>
        <w:pStyle w:val="NoSpacing"/>
      </w:pPr>
      <w:r w:rsidRPr="00BB3634">
        <w:rPr>
          <w:rStyle w:val="wixguard"/>
        </w:rPr>
        <w:t>​</w:t>
      </w:r>
    </w:p>
    <w:p w14:paraId="58028F42" w14:textId="05AF90FD" w:rsidR="00C97771" w:rsidRPr="00BB3634" w:rsidRDefault="00C97771" w:rsidP="000B18E5">
      <w:pPr>
        <w:pStyle w:val="NoSpacing"/>
      </w:pPr>
      <w:r w:rsidRPr="00BB3634">
        <w:t>Various factors may attenuate or exacerbate the seriousness of the </w:t>
      </w:r>
      <w:r w:rsidRPr="00BB3634">
        <w:rPr>
          <w:i/>
        </w:rPr>
        <w:t>Charter</w:t>
      </w:r>
      <w:r w:rsidRPr="00BB3634">
        <w:t>-infringing state conduct. Extenuating factors, such as the need to prevent the disappearance of evidence, or good faith on the part of investigators, may attenuate the seriousness of police conduct that results in a </w:t>
      </w:r>
      <w:r w:rsidRPr="00BB3634">
        <w:rPr>
          <w:i/>
        </w:rPr>
        <w:t>Charter</w:t>
      </w:r>
      <w:r w:rsidRPr="00BB3634">
        <w:t> breach. On the other hand, no rewards are given for ignorance of </w:t>
      </w:r>
      <w:r w:rsidRPr="00BB3634">
        <w:rPr>
          <w:i/>
        </w:rPr>
        <w:t>Charter</w:t>
      </w:r>
      <w:r w:rsidRPr="00BB3634">
        <w:t> standards. Negligence or wilful blindness is not the equivalent of good faith.</w:t>
      </w:r>
      <w:r w:rsidR="00551A4E" w:rsidRPr="00BB3634">
        <w:t xml:space="preserve"> </w:t>
      </w:r>
      <w:r w:rsidRPr="00BB3634">
        <w:t>Nor can good faith be based on an unreasonable error or ignorance about the officer’s scope of authority. The more deliberate the conduct of the police in breach of the </w:t>
      </w:r>
      <w:r w:rsidRPr="00BB3634">
        <w:rPr>
          <w:i/>
        </w:rPr>
        <w:t>Charter</w:t>
      </w:r>
      <w:r w:rsidRPr="00BB3634">
        <w:t xml:space="preserve">, the more likely this line of inquiry will favour exclusion: </w:t>
      </w:r>
      <w:r w:rsidRPr="00BB3634">
        <w:rPr>
          <w:i/>
        </w:rPr>
        <w:t xml:space="preserve">R v Tsekouras, </w:t>
      </w:r>
      <w:hyperlink r:id="rId434" w:history="1">
        <w:r w:rsidRPr="00BB3634">
          <w:rPr>
            <w:rStyle w:val="Hyperlink"/>
          </w:rPr>
          <w:t>2017 ONCA 290</w:t>
        </w:r>
      </w:hyperlink>
      <w:r w:rsidRPr="00BB3634">
        <w:t xml:space="preserve"> at para 109</w:t>
      </w:r>
      <w:r w:rsidR="00551A4E" w:rsidRPr="00BB3634">
        <w:t xml:space="preserve">; </w:t>
      </w:r>
      <w:r w:rsidR="00551A4E" w:rsidRPr="00BB3634">
        <w:rPr>
          <w:i/>
        </w:rPr>
        <w:t xml:space="preserve">R v Gonzales, </w:t>
      </w:r>
      <w:hyperlink r:id="rId435" w:history="1">
        <w:r w:rsidR="00551A4E" w:rsidRPr="00BB3634">
          <w:rPr>
            <w:rStyle w:val="Hyperlink"/>
          </w:rPr>
          <w:t>2017 ONCA 543</w:t>
        </w:r>
      </w:hyperlink>
      <w:r w:rsidR="00551A4E" w:rsidRPr="00BB3634">
        <w:t xml:space="preserve"> at para 158</w:t>
      </w:r>
    </w:p>
    <w:p w14:paraId="693F9160" w14:textId="4B32E2B7" w:rsidR="0072012B" w:rsidRPr="00BB3634" w:rsidRDefault="0072012B" w:rsidP="000B18E5">
      <w:pPr>
        <w:pStyle w:val="NoSpacing"/>
      </w:pPr>
    </w:p>
    <w:p w14:paraId="2B25CFE5" w14:textId="6E92C2CE" w:rsidR="00FF734E" w:rsidRPr="00DE03BA" w:rsidRDefault="00FF734E" w:rsidP="000B18E5">
      <w:pPr>
        <w:pStyle w:val="NoSpacing"/>
      </w:pPr>
      <w:r w:rsidRPr="00BB3634">
        <w:t>A conclusion as to good faith cannot be grounded on a lack of bad faith.  Ignorance of </w:t>
      </w:r>
      <w:r w:rsidRPr="00BB3634">
        <w:rPr>
          <w:i/>
        </w:rPr>
        <w:t>Charter</w:t>
      </w:r>
      <w:r w:rsidRPr="00BB3634">
        <w:t> standards must not be rewarded or encouraged and negligence or wilful blindness cannot be equated with good faith. For errors to be considered to have been made in good faith, they must be reasonable. And the police do not get credit for doing what is expected. Further, the </w:t>
      </w:r>
      <w:r w:rsidRPr="00BB3634">
        <w:rPr>
          <w:i/>
        </w:rPr>
        <w:t>Charter</w:t>
      </w:r>
      <w:r w:rsidRPr="00BB3634">
        <w:t>-infringing conduct in question need not be deliberate, nor result from systemic or institutional abuse to result in exclusion of evidence that was obtained as a result of a clear violation of well-established rules</w:t>
      </w:r>
      <w:r w:rsidR="008870BD" w:rsidRPr="00BB3634">
        <w:t xml:space="preserve">. courts may be required to dissociate themselves from evidence obtained as a result of police negligence in </w:t>
      </w:r>
      <w:r w:rsidR="008870BD" w:rsidRPr="00BB3634">
        <w:lastRenderedPageBreak/>
        <w:t>meeting </w:t>
      </w:r>
      <w:r w:rsidR="008870BD" w:rsidRPr="00BB3634">
        <w:rPr>
          <w:i/>
        </w:rPr>
        <w:t>Charter </w:t>
      </w:r>
      <w:r w:rsidR="008870BD" w:rsidRPr="00BB3634">
        <w:t xml:space="preserve">standards: </w:t>
      </w:r>
      <w:r w:rsidRPr="00BB3634">
        <w:rPr>
          <w:i/>
        </w:rPr>
        <w:t xml:space="preserve">R v Szilagyi, </w:t>
      </w:r>
      <w:hyperlink r:id="rId436" w:history="1">
        <w:r w:rsidRPr="00BB3634">
          <w:rPr>
            <w:rStyle w:val="Hyperlink"/>
          </w:rPr>
          <w:t>2018 ONCA 695</w:t>
        </w:r>
      </w:hyperlink>
      <w:r w:rsidRPr="00BB3634">
        <w:t xml:space="preserve">, at paras 55-57; see also </w:t>
      </w:r>
      <w:r w:rsidRPr="00BB3634">
        <w:rPr>
          <w:i/>
        </w:rPr>
        <w:t xml:space="preserve">R v Paterson, </w:t>
      </w:r>
      <w:r w:rsidRPr="00BB3634">
        <w:t xml:space="preserve">2017 SCC 15 at para 44; </w:t>
      </w:r>
      <w:r w:rsidRPr="00BB3634">
        <w:rPr>
          <w:i/>
        </w:rPr>
        <w:t xml:space="preserve">R v Omar, </w:t>
      </w:r>
      <w:hyperlink r:id="rId437" w:history="1">
        <w:r w:rsidRPr="00BB3634">
          <w:rPr>
            <w:rStyle w:val="Hyperlink"/>
          </w:rPr>
          <w:t>2018 ONCA 975</w:t>
        </w:r>
      </w:hyperlink>
      <w:r w:rsidRPr="00BB3634">
        <w:t>, at paras 30, 44, 45, 46, 48</w:t>
      </w:r>
      <w:r w:rsidR="001F1734" w:rsidRPr="00BB3634">
        <w:t xml:space="preserve">; rev’d on other grounds at </w:t>
      </w:r>
      <w:hyperlink r:id="rId438" w:history="1">
        <w:r w:rsidR="001F1734" w:rsidRPr="00BB3634">
          <w:rPr>
            <w:rStyle w:val="Hyperlink"/>
          </w:rPr>
          <w:t>2019 SCC 32</w:t>
        </w:r>
      </w:hyperlink>
      <w:r w:rsidR="008870BD" w:rsidRPr="00BB3634">
        <w:rPr>
          <w:rStyle w:val="Hyperlink"/>
        </w:rPr>
        <w:t xml:space="preserve">; </w:t>
      </w:r>
      <w:r w:rsidR="008870BD" w:rsidRPr="00BB3634">
        <w:rPr>
          <w:rStyle w:val="Hyperlink"/>
          <w:i/>
          <w:iCs w:val="0"/>
          <w:color w:val="000000" w:themeColor="text1"/>
          <w:u w:val="none"/>
        </w:rPr>
        <w:t xml:space="preserve">R v Dudhi, </w:t>
      </w:r>
      <w:hyperlink r:id="rId439" w:history="1">
        <w:r w:rsidR="008870BD" w:rsidRPr="00BB3634">
          <w:rPr>
            <w:rStyle w:val="Hyperlink"/>
          </w:rPr>
          <w:t>2019 ONCA 665</w:t>
        </w:r>
      </w:hyperlink>
      <w:r w:rsidR="008870BD" w:rsidRPr="00BB3634">
        <w:rPr>
          <w:rStyle w:val="Hyperlink"/>
          <w:color w:val="000000" w:themeColor="text1"/>
          <w:u w:val="none"/>
        </w:rPr>
        <w:t>, at para 90</w:t>
      </w:r>
      <w:r w:rsidR="00DE03BA">
        <w:rPr>
          <w:rStyle w:val="Hyperlink"/>
          <w:color w:val="000000" w:themeColor="text1"/>
          <w:u w:val="none"/>
        </w:rPr>
        <w:t xml:space="preserve">; </w:t>
      </w:r>
      <w:r w:rsidR="00DE03BA">
        <w:rPr>
          <w:rStyle w:val="Hyperlink"/>
          <w:i/>
          <w:iCs w:val="0"/>
          <w:color w:val="000000" w:themeColor="text1"/>
          <w:u w:val="none"/>
        </w:rPr>
        <w:t xml:space="preserve">R v Jarrett, </w:t>
      </w:r>
      <w:hyperlink r:id="rId440" w:anchor="_ftnref4" w:history="1">
        <w:r w:rsidR="00DE03BA" w:rsidRPr="00DE03BA">
          <w:rPr>
            <w:rStyle w:val="Hyperlink"/>
          </w:rPr>
          <w:t>2021 ONCA 758</w:t>
        </w:r>
      </w:hyperlink>
      <w:r w:rsidR="00DE03BA">
        <w:rPr>
          <w:rStyle w:val="Hyperlink"/>
          <w:color w:val="000000" w:themeColor="text1"/>
          <w:u w:val="none"/>
        </w:rPr>
        <w:t>, at paras 48-49</w:t>
      </w:r>
    </w:p>
    <w:p w14:paraId="7A30547A" w14:textId="77777777" w:rsidR="00FF734E" w:rsidRPr="00BB3634" w:rsidRDefault="00FF734E" w:rsidP="000B18E5">
      <w:pPr>
        <w:pStyle w:val="NoSpacing"/>
      </w:pPr>
    </w:p>
    <w:p w14:paraId="588ED978" w14:textId="02854B1B" w:rsidR="004F3724" w:rsidRPr="00BB3634" w:rsidRDefault="004F3724" w:rsidP="000B18E5">
      <w:pPr>
        <w:pStyle w:val="NoSpacing"/>
      </w:pPr>
      <w:r w:rsidRPr="00BB3634">
        <w:t xml:space="preserve">The state of the police officer’s knowledge of the right breached is relevant to the seriousness of a violation. An officer, who violates a Charter right while knowing better, commits a flagrant breach. For those officers who do not know of the relevant right, the reason they do not know can properly influence where on the good faith/bad faith continuum the Charter breach might fall. Ignorance may result, for example, from disinterest or an absence of care on the part of the individual officer, or systemic training deficiencies within the police service: </w:t>
      </w:r>
      <w:r w:rsidRPr="00BB3634">
        <w:rPr>
          <w:i/>
        </w:rPr>
        <w:t xml:space="preserve">R v Adler, </w:t>
      </w:r>
      <w:hyperlink r:id="rId441" w:history="1">
        <w:r w:rsidRPr="00BB3634">
          <w:rPr>
            <w:rStyle w:val="Hyperlink"/>
          </w:rPr>
          <w:t>2020 ONCA 246</w:t>
        </w:r>
      </w:hyperlink>
      <w:r w:rsidRPr="00BB3634">
        <w:t>, at para 27</w:t>
      </w:r>
    </w:p>
    <w:p w14:paraId="1FBC7994" w14:textId="77777777" w:rsidR="004F3724" w:rsidRPr="00BB3634" w:rsidRDefault="004F3724" w:rsidP="000B18E5">
      <w:pPr>
        <w:pStyle w:val="NoSpacing"/>
      </w:pPr>
    </w:p>
    <w:p w14:paraId="4BBC3F2A" w14:textId="6CAF64D7" w:rsidR="00FF734E" w:rsidRPr="00BB3634" w:rsidRDefault="00FF734E" w:rsidP="000B18E5">
      <w:pPr>
        <w:pStyle w:val="NoSpacing"/>
      </w:pPr>
      <w:r w:rsidRPr="00BB3634">
        <w:t xml:space="preserve">It is an error of law for a trial judge to speculatively try to explain or justify police conduct that infringes the </w:t>
      </w:r>
      <w:r w:rsidRPr="00BB3634">
        <w:rPr>
          <w:i/>
        </w:rPr>
        <w:t xml:space="preserve">Charter </w:t>
      </w:r>
      <w:r w:rsidRPr="00BB3634">
        <w:t>(in the </w:t>
      </w:r>
      <w:r w:rsidRPr="00BB3634">
        <w:rPr>
          <w:i/>
        </w:rPr>
        <w:t>Pino </w:t>
      </w:r>
      <w:r w:rsidRPr="00BB3634">
        <w:t>case, dishonesty). This evidence must come from the evidentiary record (generally, the officers themselves) and it is the Crown's burden to advance any such explanation in this part of the analysis: </w:t>
      </w:r>
      <w:r w:rsidRPr="00BB3634">
        <w:rPr>
          <w:i/>
        </w:rPr>
        <w:t>R v Pino, </w:t>
      </w:r>
      <w:r w:rsidRPr="00BB3634">
        <w:rPr>
          <w:u w:val="single"/>
        </w:rPr>
        <w:t>2016 ONCA 389</w:t>
      </w:r>
      <w:r w:rsidRPr="00BB3634">
        <w:t xml:space="preserve"> at paras 95-97; </w:t>
      </w:r>
      <w:r w:rsidRPr="00BB3634">
        <w:rPr>
          <w:i/>
        </w:rPr>
        <w:t xml:space="preserve">Tsekouras </w:t>
      </w:r>
      <w:r w:rsidRPr="00BB3634">
        <w:t>at para 113</w:t>
      </w:r>
    </w:p>
    <w:p w14:paraId="0FD00CD2" w14:textId="77777777" w:rsidR="00FF734E" w:rsidRPr="00BB3634" w:rsidRDefault="00FF734E" w:rsidP="000B18E5">
      <w:pPr>
        <w:pStyle w:val="NoSpacing"/>
      </w:pPr>
    </w:p>
    <w:p w14:paraId="3B88909B" w14:textId="77777777" w:rsidR="00FF734E" w:rsidRPr="00BB3634" w:rsidRDefault="00FF734E" w:rsidP="000B18E5">
      <w:pPr>
        <w:pStyle w:val="NoSpacing"/>
      </w:pPr>
      <w:r w:rsidRPr="00BB3634">
        <w:t>To use after-the-fact acknowledgement of wrong-doing and a change in practice as a basis for minimizing the seriousness of the breach and admitting the impugned evidence “would render the </w:t>
      </w:r>
      <w:r w:rsidRPr="00BB3634">
        <w:rPr>
          <w:i/>
        </w:rPr>
        <w:t>Charter</w:t>
      </w:r>
      <w:r w:rsidRPr="00BB3634">
        <w:t xml:space="preserve">’s protection meaningless: </w:t>
      </w:r>
      <w:r w:rsidRPr="00BB3634">
        <w:rPr>
          <w:i/>
        </w:rPr>
        <w:t xml:space="preserve">Szilagyi </w:t>
      </w:r>
      <w:r w:rsidRPr="00BB3634">
        <w:t xml:space="preserve">at para 64; see also </w:t>
      </w:r>
      <w:r w:rsidRPr="00BB3634">
        <w:rPr>
          <w:i/>
        </w:rPr>
        <w:t xml:space="preserve">R v Strauss, </w:t>
      </w:r>
      <w:r w:rsidRPr="00BB3634">
        <w:t>2017 ONCA 628 at para 60</w:t>
      </w:r>
    </w:p>
    <w:p w14:paraId="45A1FA5B" w14:textId="77777777" w:rsidR="00FF734E" w:rsidRPr="00BB3634" w:rsidRDefault="00FF734E" w:rsidP="000B18E5">
      <w:pPr>
        <w:pStyle w:val="NoSpacing"/>
      </w:pPr>
    </w:p>
    <w:p w14:paraId="46F165F5" w14:textId="6789326E" w:rsidR="00FF734E" w:rsidRPr="00BB3634" w:rsidRDefault="00FF734E" w:rsidP="000B18E5">
      <w:pPr>
        <w:pStyle w:val="NoSpacing"/>
      </w:pPr>
      <w:r w:rsidRPr="00BB3634">
        <w:t>Re Dishonest police testimony: "The integrity of the judicial system and the truth-seeking function of the courts lie at the heart of the admissibility inquiry envisaged under s. 24(2) of the Charter. Few actions more directly undermine both of these goals than misleading testimony in court from persons in authority:" </w:t>
      </w:r>
      <w:r w:rsidRPr="00BB3634">
        <w:rPr>
          <w:i/>
        </w:rPr>
        <w:t>Pino </w:t>
      </w:r>
      <w:r w:rsidRPr="00BB3634">
        <w:t>at para 102, quoting </w:t>
      </w:r>
      <w:r w:rsidRPr="00BB3634">
        <w:rPr>
          <w:i/>
        </w:rPr>
        <w:t>R v Harrison</w:t>
      </w:r>
      <w:r w:rsidRPr="00BB3634">
        <w:t>, 2009 SCC 34</w:t>
      </w:r>
    </w:p>
    <w:p w14:paraId="15609AB4" w14:textId="361B9EB8" w:rsidR="0042114F" w:rsidRPr="00BB3634" w:rsidRDefault="0042114F" w:rsidP="000B18E5">
      <w:pPr>
        <w:pStyle w:val="NoSpacing"/>
      </w:pPr>
    </w:p>
    <w:p w14:paraId="371B5DC5" w14:textId="16167DB7" w:rsidR="0042114F" w:rsidRDefault="0042114F" w:rsidP="000B18E5">
      <w:pPr>
        <w:pStyle w:val="NoSpacing"/>
      </w:pPr>
      <w:r w:rsidRPr="00BB3634">
        <w:t xml:space="preserve">A finding that an officer intentionally attempted to mislead a court about a constitutional violation that has occurred is an important pro-exclusionary consideration in an s. 24(2) application: </w:t>
      </w:r>
      <w:r w:rsidRPr="00BB3634">
        <w:rPr>
          <w:i/>
        </w:rPr>
        <w:t xml:space="preserve">R v Lai, </w:t>
      </w:r>
      <w:r w:rsidRPr="00BB3634">
        <w:t>2019 ONCA 420, at para</w:t>
      </w:r>
      <w:r w:rsidR="00337054" w:rsidRPr="00BB3634">
        <w:t>s</w:t>
      </w:r>
      <w:r w:rsidRPr="00BB3634">
        <w:t xml:space="preserve"> 13</w:t>
      </w:r>
      <w:r w:rsidR="00337054" w:rsidRPr="00BB3634">
        <w:t>, 36, 37</w:t>
      </w:r>
    </w:p>
    <w:p w14:paraId="77E18B0D" w14:textId="22A06D0F" w:rsidR="004E71CD" w:rsidRDefault="004E71CD" w:rsidP="000B18E5">
      <w:pPr>
        <w:pStyle w:val="NoSpacing"/>
      </w:pPr>
    </w:p>
    <w:p w14:paraId="7F848B52" w14:textId="0154253F" w:rsidR="004E71CD" w:rsidRPr="004E71CD" w:rsidRDefault="004E71CD" w:rsidP="000B18E5">
      <w:pPr>
        <w:pStyle w:val="NoSpacing"/>
      </w:pPr>
      <w:r>
        <w:t xml:space="preserve">A finding that the police deliberately breached charter rights as part of a ruse to further their investigation is highly aggravating, and the courts should disassociate themselves from such conduct: </w:t>
      </w:r>
      <w:r>
        <w:rPr>
          <w:i/>
          <w:iCs w:val="0"/>
        </w:rPr>
        <w:t xml:space="preserve">R v Bielli, </w:t>
      </w:r>
      <w:hyperlink r:id="rId442" w:history="1">
        <w:r w:rsidRPr="004E71CD">
          <w:rPr>
            <w:rStyle w:val="Hyperlink"/>
          </w:rPr>
          <w:t>2021 ONCA 222</w:t>
        </w:r>
      </w:hyperlink>
      <w:r>
        <w:t>, at paras 107-108</w:t>
      </w:r>
    </w:p>
    <w:p w14:paraId="6C8B8C5D" w14:textId="77777777" w:rsidR="00FF734E" w:rsidRPr="00BB3634" w:rsidRDefault="00FF734E" w:rsidP="000B18E5">
      <w:pPr>
        <w:pStyle w:val="NoSpacing"/>
      </w:pPr>
    </w:p>
    <w:p w14:paraId="36531657" w14:textId="3537ADA2" w:rsidR="0072012B" w:rsidRPr="00205B8B" w:rsidRDefault="0072012B" w:rsidP="000B18E5">
      <w:pPr>
        <w:pStyle w:val="NoSpacing"/>
      </w:pPr>
      <w:r w:rsidRPr="00BB3634">
        <w:t xml:space="preserve">The seriousness of police conduct that resulted in Charter violations will be mitigated to the extent that the lawfulness of their conduct was legally uncertain at the time: see, for example, </w:t>
      </w:r>
      <w:r w:rsidRPr="00BB3634">
        <w:rPr>
          <w:i/>
        </w:rPr>
        <w:t xml:space="preserve">R v Boutros, </w:t>
      </w:r>
      <w:hyperlink r:id="rId443" w:history="1">
        <w:r w:rsidRPr="00BB3634">
          <w:rPr>
            <w:rStyle w:val="Hyperlink"/>
          </w:rPr>
          <w:t>2018 ONCA 375</w:t>
        </w:r>
      </w:hyperlink>
      <w:r w:rsidRPr="00BB3634">
        <w:t xml:space="preserve"> at para 35. That being said, the police cannot choose the least onerous path whenever there is a gray area in the law. In general, faced with real uncertainty, the police should err on the side of caution by choosing a course of action that is more respectful of the accused’s potential rights: </w:t>
      </w:r>
      <w:r w:rsidRPr="00BB3634">
        <w:rPr>
          <w:i/>
        </w:rPr>
        <w:t xml:space="preserve">R v Fearon, </w:t>
      </w:r>
      <w:hyperlink r:id="rId444" w:history="1">
        <w:r w:rsidRPr="00BB3634">
          <w:rPr>
            <w:rStyle w:val="Hyperlink"/>
          </w:rPr>
          <w:t>201</w:t>
        </w:r>
        <w:r w:rsidR="00CC01F2" w:rsidRPr="00BB3634">
          <w:rPr>
            <w:rStyle w:val="Hyperlink"/>
          </w:rPr>
          <w:t>4 SCC 77</w:t>
        </w:r>
      </w:hyperlink>
      <w:r w:rsidR="00CC01F2" w:rsidRPr="00BB3634">
        <w:t xml:space="preserve"> at para 94</w:t>
      </w:r>
      <w:r w:rsidR="00205B8B">
        <w:t xml:space="preserve">; </w:t>
      </w:r>
      <w:r w:rsidR="00205B8B">
        <w:rPr>
          <w:i/>
        </w:rPr>
        <w:t xml:space="preserve">R v Jones, </w:t>
      </w:r>
      <w:hyperlink r:id="rId445" w:history="1">
        <w:r w:rsidR="00205B8B" w:rsidRPr="00205B8B">
          <w:rPr>
            <w:rStyle w:val="Hyperlink"/>
          </w:rPr>
          <w:t>2017 SCC 60</w:t>
        </w:r>
      </w:hyperlink>
      <w:r w:rsidR="00205B8B">
        <w:t>, at para 118</w:t>
      </w:r>
    </w:p>
    <w:p w14:paraId="744BC6FD" w14:textId="4C81F97C" w:rsidR="00C97771" w:rsidRDefault="00C97771" w:rsidP="000B18E5">
      <w:pPr>
        <w:pStyle w:val="NoSpacing"/>
      </w:pPr>
    </w:p>
    <w:p w14:paraId="23202EFB" w14:textId="1EB55F28" w:rsidR="00D6588A" w:rsidRPr="00D6588A" w:rsidRDefault="00D6588A" w:rsidP="000B18E5">
      <w:pPr>
        <w:pStyle w:val="NoSpacing"/>
      </w:pPr>
      <w:r>
        <w:t>A</w:t>
      </w:r>
      <w:r w:rsidRPr="00D6588A">
        <w:t>dditional </w:t>
      </w:r>
      <w:r w:rsidRPr="00D6588A">
        <w:rPr>
          <w:i/>
        </w:rPr>
        <w:t>Charter </w:t>
      </w:r>
      <w:r w:rsidRPr="00D6588A">
        <w:t>breaches occurring during the same investigation can enhance the seriousness of each of the </w:t>
      </w:r>
      <w:r w:rsidRPr="00D6588A">
        <w:rPr>
          <w:i/>
        </w:rPr>
        <w:t>Charter </w:t>
      </w:r>
      <w:r w:rsidRPr="00D6588A">
        <w:t>breaches:</w:t>
      </w:r>
      <w:r>
        <w:t xml:space="preserve"> </w:t>
      </w:r>
      <w:r>
        <w:rPr>
          <w:i/>
        </w:rPr>
        <w:t xml:space="preserve">R v Barton, </w:t>
      </w:r>
      <w:hyperlink r:id="rId446" w:history="1">
        <w:r w:rsidRPr="00D6588A">
          <w:rPr>
            <w:rStyle w:val="Hyperlink"/>
          </w:rPr>
          <w:t>2021 ONCA 459</w:t>
        </w:r>
      </w:hyperlink>
      <w:r>
        <w:t xml:space="preserve">, at para 9 </w:t>
      </w:r>
    </w:p>
    <w:p w14:paraId="314CEE27" w14:textId="77777777" w:rsidR="00D6588A" w:rsidRPr="00BB3634" w:rsidRDefault="00D6588A" w:rsidP="000B18E5">
      <w:pPr>
        <w:pStyle w:val="NoSpacing"/>
      </w:pPr>
    </w:p>
    <w:p w14:paraId="0FE8614F" w14:textId="77777777" w:rsidR="00FF734E" w:rsidRPr="00BB3634" w:rsidRDefault="00FF734E" w:rsidP="000B18E5">
      <w:pPr>
        <w:pStyle w:val="NoSpacing"/>
      </w:pPr>
      <w:r w:rsidRPr="00BB3634">
        <w:t>The systemic nature of the violation plays a central role in assessing its long-term impact on the proper administration of justice.  Constitutional breaches that are the direct result of systemic or institutional police practices must render the police conduct more serious for the purposes of the s. 24(2) analysis. A police practice that is inconsistent with the demands of the </w:t>
      </w:r>
      <w:r w:rsidRPr="00BB3634">
        <w:rPr>
          <w:i/>
        </w:rPr>
        <w:t>Charter</w:t>
      </w:r>
      <w:r w:rsidRPr="00BB3634">
        <w:t xml:space="preserve"> produces repeated and ongoing constitutional violations that must, in the long run, negatively impact the due administration of justice. This is so even if many of the breaches are never exposed in a criminal court.  </w:t>
      </w:r>
      <w:r w:rsidRPr="00BB3634">
        <w:rPr>
          <w:i/>
        </w:rPr>
        <w:t xml:space="preserve">R v Rover, </w:t>
      </w:r>
      <w:hyperlink r:id="rId447" w:history="1">
        <w:r w:rsidRPr="00BB3634">
          <w:rPr>
            <w:rStyle w:val="Hyperlink"/>
          </w:rPr>
          <w:t>2018 ONCA 745</w:t>
        </w:r>
      </w:hyperlink>
      <w:r w:rsidRPr="00BB3634">
        <w:t xml:space="preserve"> at para 37, 40</w:t>
      </w:r>
    </w:p>
    <w:p w14:paraId="43DB7E4D" w14:textId="77777777" w:rsidR="00FF734E" w:rsidRPr="00BB3634" w:rsidRDefault="00FF734E" w:rsidP="000B18E5">
      <w:pPr>
        <w:pStyle w:val="NoSpacing"/>
      </w:pPr>
    </w:p>
    <w:p w14:paraId="063D9F2F" w14:textId="55C1C539" w:rsidR="00C97771" w:rsidRDefault="00C97771" w:rsidP="000B18E5">
      <w:pPr>
        <w:pStyle w:val="NoSpacing"/>
      </w:pPr>
      <w:r w:rsidRPr="00BB3634">
        <w:t>When dealing with the systemic nature of the police misconduct, the issue is not punishment of the police but rather preservation of public confidence in the rule of law and its processes. Minor or inadvertent breaches may only minimally undermine public confidence.  Wilful and ongoing disregard of </w:t>
      </w:r>
      <w:r w:rsidRPr="00BB3634">
        <w:rPr>
          <w:i/>
        </w:rPr>
        <w:t>Charter </w:t>
      </w:r>
      <w:r w:rsidRPr="00BB3634">
        <w:t xml:space="preserve">rights will have a negative effect on public confidence: </w:t>
      </w:r>
      <w:r w:rsidRPr="00BB3634">
        <w:rPr>
          <w:i/>
        </w:rPr>
        <w:t xml:space="preserve">R v Strauss, </w:t>
      </w:r>
      <w:hyperlink r:id="rId448" w:history="1">
        <w:r w:rsidRPr="00BB3634">
          <w:rPr>
            <w:rStyle w:val="Hyperlink"/>
          </w:rPr>
          <w:t>2017 ONCA 628</w:t>
        </w:r>
      </w:hyperlink>
      <w:r w:rsidRPr="00BB3634">
        <w:t xml:space="preserve"> at para 53</w:t>
      </w:r>
    </w:p>
    <w:p w14:paraId="05B7F626" w14:textId="7D6ACC7E" w:rsidR="000B18E5" w:rsidRDefault="000B18E5" w:rsidP="000B18E5">
      <w:pPr>
        <w:pStyle w:val="NoSpacing"/>
      </w:pPr>
    </w:p>
    <w:p w14:paraId="3760E908" w14:textId="77777777" w:rsidR="000B18E5" w:rsidRPr="00BB3634" w:rsidRDefault="000B18E5" w:rsidP="000B18E5">
      <w:pPr>
        <w:pStyle w:val="NoSpacing"/>
      </w:pPr>
      <w:r w:rsidRPr="00BB3634">
        <w:t>The seriousness of a s.10(b) breach cannot be attenuated by the fact that:</w:t>
      </w:r>
    </w:p>
    <w:p w14:paraId="1BD8B4D2" w14:textId="77777777" w:rsidR="000B18E5" w:rsidRPr="00BB3634" w:rsidRDefault="000B18E5" w:rsidP="00E32F34">
      <w:pPr>
        <w:pStyle w:val="NoSpacing"/>
        <w:numPr>
          <w:ilvl w:val="0"/>
          <w:numId w:val="56"/>
        </w:numPr>
      </w:pPr>
      <w:r w:rsidRPr="00BB3634">
        <w:t xml:space="preserve">the police do not commit an additional breach by attempting to solicit information prior to facilitating rights to counsel: </w:t>
      </w:r>
    </w:p>
    <w:p w14:paraId="639D98C1" w14:textId="77777777" w:rsidR="000B18E5" w:rsidRPr="00BB3634" w:rsidRDefault="000B18E5" w:rsidP="00E32F34">
      <w:pPr>
        <w:pStyle w:val="NoSpacing"/>
        <w:numPr>
          <w:ilvl w:val="0"/>
          <w:numId w:val="56"/>
        </w:numPr>
      </w:pPr>
      <w:r w:rsidRPr="00BB3634">
        <w:t>the right to counsel is delayed, as opposed to denied altogether</w:t>
      </w:r>
    </w:p>
    <w:p w14:paraId="2FFA145B" w14:textId="77777777" w:rsidR="000B18E5" w:rsidRPr="00BB3634" w:rsidRDefault="000B18E5" w:rsidP="00E32F34">
      <w:pPr>
        <w:pStyle w:val="NoSpacing"/>
        <w:numPr>
          <w:ilvl w:val="0"/>
          <w:numId w:val="56"/>
        </w:numPr>
      </w:pPr>
      <w:r w:rsidRPr="00BB3634">
        <w:t xml:space="preserve">the accused does not demonstrate that the delay occasioned a failure to have a meaningful conversation with counsel: </w:t>
      </w:r>
      <w:r w:rsidRPr="00BB3634">
        <w:rPr>
          <w:i/>
        </w:rPr>
        <w:t xml:space="preserve">R v Noel, </w:t>
      </w:r>
      <w:hyperlink r:id="rId449" w:history="1">
        <w:r w:rsidRPr="00BB3634">
          <w:rPr>
            <w:rStyle w:val="Hyperlink"/>
          </w:rPr>
          <w:t>2019 ONCA 860,</w:t>
        </w:r>
      </w:hyperlink>
      <w:r w:rsidRPr="00BB3634">
        <w:t xml:space="preserve"> at paras 19-22</w:t>
      </w:r>
    </w:p>
    <w:p w14:paraId="053402ED" w14:textId="76A86763" w:rsidR="000B18E5" w:rsidRDefault="000B18E5" w:rsidP="000B18E5">
      <w:pPr>
        <w:pStyle w:val="NoSpacing"/>
      </w:pPr>
    </w:p>
    <w:p w14:paraId="35934584" w14:textId="77777777" w:rsidR="00C57050" w:rsidRPr="00BB3634" w:rsidRDefault="00C57050" w:rsidP="000B18E5">
      <w:pPr>
        <w:pStyle w:val="NoSpacing"/>
      </w:pPr>
    </w:p>
    <w:p w14:paraId="2B19BAD6" w14:textId="77777777" w:rsidR="00B50245" w:rsidRPr="00BB3634" w:rsidRDefault="00B50245" w:rsidP="000B18E5">
      <w:pPr>
        <w:pStyle w:val="NoSpacing"/>
      </w:pPr>
    </w:p>
    <w:p w14:paraId="11CAADA4" w14:textId="47C5A077" w:rsidR="00BA08C7" w:rsidRPr="00BB3634" w:rsidRDefault="00732DF5" w:rsidP="00FF4E15">
      <w:pPr>
        <w:pStyle w:val="Heading4"/>
        <w:numPr>
          <w:ilvl w:val="0"/>
          <w:numId w:val="36"/>
        </w:numPr>
        <w:spacing w:line="276" w:lineRule="auto"/>
        <w:rPr>
          <w:rFonts w:cs="Arial"/>
          <w:sz w:val="24"/>
          <w:szCs w:val="24"/>
        </w:rPr>
      </w:pPr>
      <w:r w:rsidRPr="00BB3634">
        <w:rPr>
          <w:rFonts w:cs="Arial"/>
          <w:sz w:val="24"/>
          <w:szCs w:val="24"/>
        </w:rPr>
        <w:lastRenderedPageBreak/>
        <w:t>Specific Examples from the case law</w:t>
      </w:r>
    </w:p>
    <w:p w14:paraId="03A9BD51" w14:textId="77777777" w:rsidR="00732DF5" w:rsidRPr="00BB3634" w:rsidRDefault="00732DF5" w:rsidP="000B18E5">
      <w:pPr>
        <w:pStyle w:val="NoSpacing"/>
      </w:pPr>
    </w:p>
    <w:p w14:paraId="11ADEE8A" w14:textId="42025EBC" w:rsidR="00691ADB" w:rsidRPr="00BB3634" w:rsidRDefault="00691ADB" w:rsidP="000B18E5">
      <w:pPr>
        <w:pStyle w:val="NoSpacing"/>
      </w:pPr>
      <w:r w:rsidRPr="00BB3634">
        <w:t xml:space="preserve">In </w:t>
      </w:r>
      <w:r w:rsidRPr="00BB3634">
        <w:rPr>
          <w:i/>
        </w:rPr>
        <w:t xml:space="preserve">Harflett, </w:t>
      </w:r>
      <w:r w:rsidRPr="00BB3634">
        <w:t>the officer's invariable practice of searching every car was said to fit the description of an impermissible “fishing expedition conducted at a random highway stop." This was characterized as falling at the serious end of the spectrum of state misconduct and therefore favoured exclusion of the evidence: </w:t>
      </w:r>
      <w:r w:rsidRPr="00BB3634">
        <w:rPr>
          <w:i/>
        </w:rPr>
        <w:t>R v Harflett, </w:t>
      </w:r>
      <w:r w:rsidRPr="00BB3634">
        <w:rPr>
          <w:u w:val="single"/>
        </w:rPr>
        <w:t xml:space="preserve">2016 ONCA 248 </w:t>
      </w:r>
      <w:r w:rsidRPr="00BB3634">
        <w:t>at paras 40-45</w:t>
      </w:r>
    </w:p>
    <w:p w14:paraId="4A23887C" w14:textId="77777777" w:rsidR="00691ADB" w:rsidRPr="00BB3634" w:rsidRDefault="00691ADB" w:rsidP="000B18E5">
      <w:pPr>
        <w:pStyle w:val="NoSpacing"/>
      </w:pPr>
      <w:r w:rsidRPr="00BB3634">
        <w:rPr>
          <w:rStyle w:val="wixguard"/>
        </w:rPr>
        <w:t>​</w:t>
      </w:r>
    </w:p>
    <w:p w14:paraId="5037E532" w14:textId="77777777" w:rsidR="00691ADB" w:rsidRPr="00BB3634" w:rsidRDefault="00691ADB" w:rsidP="000B18E5">
      <w:pPr>
        <w:pStyle w:val="NoSpacing"/>
      </w:pPr>
      <w:r w:rsidRPr="00BB3634">
        <w:t>Re firearms case: the breach does not have to be more serious when the evidence sought to be excluded is a firearms case. There is not a different test for admission where the impugned evidence is a firearm: </w:t>
      </w:r>
      <w:r w:rsidRPr="00BB3634">
        <w:rPr>
          <w:i/>
        </w:rPr>
        <w:t>R v Dunkely, </w:t>
      </w:r>
      <w:r w:rsidRPr="00BB3634">
        <w:rPr>
          <w:u w:val="single"/>
        </w:rPr>
        <w:t>2015 ONCA 597</w:t>
      </w:r>
      <w:r w:rsidRPr="00BB3634">
        <w:t xml:space="preserve"> at para 53. </w:t>
      </w:r>
    </w:p>
    <w:p w14:paraId="797DA232" w14:textId="77777777" w:rsidR="00BA08C7" w:rsidRPr="00BB3634" w:rsidRDefault="00BA08C7" w:rsidP="000B18E5">
      <w:pPr>
        <w:pStyle w:val="NoSpacing"/>
      </w:pPr>
    </w:p>
    <w:p w14:paraId="1437DD39" w14:textId="12CE4BD8" w:rsidR="00691ADB" w:rsidRPr="00BB3634" w:rsidRDefault="00BA08C7" w:rsidP="000B18E5">
      <w:pPr>
        <w:pStyle w:val="NoSpacing"/>
        <w:rPr>
          <w:rStyle w:val="wixguard"/>
        </w:rPr>
      </w:pPr>
      <w:r w:rsidRPr="00BB3634">
        <w:t xml:space="preserve">In </w:t>
      </w:r>
      <w:r w:rsidRPr="00BB3634">
        <w:rPr>
          <w:i/>
        </w:rPr>
        <w:t xml:space="preserve">Ritchie, </w:t>
      </w:r>
      <w:r w:rsidRPr="00BB3634">
        <w:t xml:space="preserve">the </w:t>
      </w:r>
      <w:r w:rsidR="00732DF5" w:rsidRPr="00BB3634">
        <w:t>Court of Appeal found that the police misconduct of searching</w:t>
      </w:r>
      <w:r w:rsidR="004B51EB" w:rsidRPr="00BB3634">
        <w:t xml:space="preserve"> the Appellant’s</w:t>
      </w:r>
      <w:r w:rsidR="00732DF5" w:rsidRPr="00BB3634">
        <w:t xml:space="preserve"> text messages </w:t>
      </w:r>
      <w:r w:rsidR="004B51EB" w:rsidRPr="00BB3634">
        <w:t xml:space="preserve">on a third party’s phone </w:t>
      </w:r>
      <w:r w:rsidR="00732DF5" w:rsidRPr="00BB3634">
        <w:t>without a warrant was made more serious</w:t>
      </w:r>
      <w:r w:rsidR="004B51EB" w:rsidRPr="00BB3634">
        <w:t xml:space="preserve"> by the fact that the police searched the phone six months after they seized it, and obtained a warrant two months after that</w:t>
      </w:r>
      <w:r w:rsidR="008F5BF5" w:rsidRPr="00BB3634">
        <w:t xml:space="preserve">: </w:t>
      </w:r>
      <w:r w:rsidR="008F5BF5" w:rsidRPr="00BB3634">
        <w:rPr>
          <w:i/>
        </w:rPr>
        <w:t xml:space="preserve">R v Ritchie, </w:t>
      </w:r>
      <w:hyperlink r:id="rId450" w:history="1">
        <w:r w:rsidR="003B5D6F" w:rsidRPr="00BB3634">
          <w:rPr>
            <w:rStyle w:val="Hyperlink"/>
            <w:i/>
          </w:rPr>
          <w:t>2018 ONCA 918</w:t>
        </w:r>
      </w:hyperlink>
      <w:r w:rsidR="003B5D6F" w:rsidRPr="00BB3634">
        <w:rPr>
          <w:i/>
        </w:rPr>
        <w:t xml:space="preserve"> </w:t>
      </w:r>
      <w:r w:rsidR="00691ADB" w:rsidRPr="00BB3634">
        <w:rPr>
          <w:rStyle w:val="wixguard"/>
        </w:rPr>
        <w:t>​</w:t>
      </w:r>
    </w:p>
    <w:p w14:paraId="0F40525F" w14:textId="31A4C321" w:rsidR="0042114F" w:rsidRPr="00BB3634" w:rsidRDefault="0042114F" w:rsidP="000B18E5">
      <w:pPr>
        <w:pStyle w:val="NoSpacing"/>
        <w:rPr>
          <w:rStyle w:val="wixguard"/>
        </w:rPr>
      </w:pPr>
    </w:p>
    <w:p w14:paraId="05E8ED3D" w14:textId="3FF5C53D" w:rsidR="0042114F" w:rsidRPr="00BB3634" w:rsidRDefault="0042114F" w:rsidP="000B18E5">
      <w:pPr>
        <w:pStyle w:val="NoSpacing"/>
      </w:pPr>
      <w:r w:rsidRPr="00BB3634">
        <w:t xml:space="preserve">In </w:t>
      </w:r>
      <w:r w:rsidRPr="00BB3634">
        <w:rPr>
          <w:i/>
        </w:rPr>
        <w:t xml:space="preserve">Lai, </w:t>
      </w:r>
      <w:r w:rsidRPr="00BB3634">
        <w:t xml:space="preserve">the Court of Appeal held that the trial judge erred in minimizing the seriousness of the breach by relying on the fact that, although the searching officer did not have subjective grounds to search the residence, objective grounds </w:t>
      </w:r>
      <w:r w:rsidR="00337054" w:rsidRPr="00BB3634">
        <w:t>nonetheless</w:t>
      </w:r>
      <w:r w:rsidRPr="00BB3634">
        <w:t xml:space="preserve"> existed. “A person with a reasonable expectation of privacy in a place has the constitutional right to be free from an illegal search</w:t>
      </w:r>
      <w:r w:rsidR="00337054" w:rsidRPr="00BB3634">
        <w:t xml:space="preserve">. A search without subjective grounds is illegal, even where objective grounds would have existed had the officer acted on those grounds.” Further, “a court cannot justify a search based on the existence of objective grounds for a form of search that was not undertaken.” </w:t>
      </w:r>
      <w:r w:rsidR="00337054" w:rsidRPr="00BB3634">
        <w:rPr>
          <w:i/>
        </w:rPr>
        <w:t xml:space="preserve">R v Lai, </w:t>
      </w:r>
      <w:hyperlink r:id="rId451" w:history="1">
        <w:r w:rsidR="00337054" w:rsidRPr="00BB3634">
          <w:rPr>
            <w:rStyle w:val="Hyperlink"/>
          </w:rPr>
          <w:t>2019 ONCA 420</w:t>
        </w:r>
      </w:hyperlink>
      <w:r w:rsidR="00337054" w:rsidRPr="00BB3634">
        <w:t>, at paras 26, 31</w:t>
      </w:r>
    </w:p>
    <w:p w14:paraId="529C9C1C" w14:textId="5D1DCE0A" w:rsidR="000970F9" w:rsidRPr="00BB3634" w:rsidRDefault="000970F9" w:rsidP="000B18E5">
      <w:pPr>
        <w:pStyle w:val="NoSpacing"/>
      </w:pPr>
    </w:p>
    <w:p w14:paraId="5B7636BD" w14:textId="6D38D0C8" w:rsidR="000970F9" w:rsidRPr="00BB3634" w:rsidRDefault="000970F9" w:rsidP="000B18E5">
      <w:pPr>
        <w:pStyle w:val="NoSpacing"/>
      </w:pPr>
      <w:r w:rsidRPr="00BB3634">
        <w:t xml:space="preserve">In </w:t>
      </w:r>
      <w:r w:rsidRPr="00BB3634">
        <w:rPr>
          <w:i/>
        </w:rPr>
        <w:t xml:space="preserve">Mohammed, </w:t>
      </w:r>
      <w:r w:rsidRPr="00BB3634">
        <w:t>the Court characterized as extrtemely serious the conduct of the police in 1) questioning the accused for 20 minutes without giving him an opportunity to consult with counsel, resulting in the accused making self-cinriminating statements; and 2) unjustifiably searching his cell phone incident to arrest, resulting in the viewing of incoming and saved messages and photographing eight messaged that were used as evidence of drug trafficking:</w:t>
      </w:r>
      <w:r w:rsidR="008A3F19" w:rsidRPr="00BB3634">
        <w:t xml:space="preserve"> </w:t>
      </w:r>
      <w:hyperlink r:id="rId452" w:history="1">
        <w:r w:rsidR="008A3F19" w:rsidRPr="00BB3634">
          <w:rPr>
            <w:rStyle w:val="Hyperlink"/>
          </w:rPr>
          <w:t>2020 ONCA 9</w:t>
        </w:r>
      </w:hyperlink>
      <w:r w:rsidRPr="00BB3634">
        <w:t>, at paras 17-18</w:t>
      </w:r>
    </w:p>
    <w:p w14:paraId="1D5AF494" w14:textId="54F8AF17" w:rsidR="0042114F" w:rsidRDefault="0042114F" w:rsidP="000B18E5">
      <w:pPr>
        <w:pStyle w:val="NoSpacing"/>
      </w:pPr>
    </w:p>
    <w:p w14:paraId="6361EB68" w14:textId="77777777" w:rsidR="00C57050" w:rsidRPr="00BB3634" w:rsidRDefault="00C57050" w:rsidP="000B18E5">
      <w:pPr>
        <w:pStyle w:val="NoSpacing"/>
      </w:pPr>
    </w:p>
    <w:p w14:paraId="1D40C281" w14:textId="6BDC0B66" w:rsidR="00691ADB" w:rsidRPr="00BB3634" w:rsidRDefault="00691ADB" w:rsidP="007A6720">
      <w:pPr>
        <w:pStyle w:val="Heading3"/>
      </w:pPr>
      <w:bookmarkStart w:id="172" w:name="_Toc94360252"/>
      <w:r w:rsidRPr="00BB3634">
        <w:lastRenderedPageBreak/>
        <w:t>Step 2: Impact of the Breach on Accused's Charter Protected Interests</w:t>
      </w:r>
      <w:bookmarkEnd w:id="172"/>
    </w:p>
    <w:p w14:paraId="12A91C45" w14:textId="1EEFB7CD" w:rsidR="00C97771" w:rsidRPr="00BB3634" w:rsidRDefault="00C97771" w:rsidP="000B18E5">
      <w:pPr>
        <w:pStyle w:val="NoSpacing"/>
      </w:pPr>
      <w:r w:rsidRPr="00BB3634">
        <w:t>The second line of inquiry requires an examination of the extent to which the </w:t>
      </w:r>
      <w:r w:rsidRPr="00BB3634">
        <w:rPr>
          <w:i/>
        </w:rPr>
        <w:t>Charter</w:t>
      </w:r>
      <w:r w:rsidRPr="00BB3634">
        <w:t xml:space="preserve"> breach actually interfered with or undermined the interests protected by the right infringed. Again here there is a spectrum: fleeting and technical to profoundly intrusive. The more serious the impact, the greater the risk that admission of the evidence will bring the administration of justice into disrepute by signalling to the public that the high-sounding nature of the rights is belied by their feeble evidentiary impact in proceedings against the person whose rights have been trampled: </w:t>
      </w:r>
      <w:r w:rsidRPr="00BB3634">
        <w:rPr>
          <w:i/>
        </w:rPr>
        <w:t xml:space="preserve">R v Tsekouras, </w:t>
      </w:r>
      <w:hyperlink r:id="rId453" w:history="1">
        <w:r w:rsidRPr="00BB3634">
          <w:rPr>
            <w:rStyle w:val="Hyperlink"/>
          </w:rPr>
          <w:t>2017 ONCA 290</w:t>
        </w:r>
      </w:hyperlink>
      <w:r w:rsidR="00551A4E" w:rsidRPr="00BB3634">
        <w:t xml:space="preserve"> at para 110; </w:t>
      </w:r>
      <w:r w:rsidR="00551A4E" w:rsidRPr="00BB3634">
        <w:rPr>
          <w:i/>
        </w:rPr>
        <w:t xml:space="preserve">R v Gonzales, </w:t>
      </w:r>
      <w:hyperlink r:id="rId454" w:history="1">
        <w:r w:rsidR="00551A4E" w:rsidRPr="00BB3634">
          <w:rPr>
            <w:rStyle w:val="Hyperlink"/>
          </w:rPr>
          <w:t>2017 ONCA 543</w:t>
        </w:r>
      </w:hyperlink>
      <w:r w:rsidR="00551A4E" w:rsidRPr="00BB3634">
        <w:t xml:space="preserve"> at para 159</w:t>
      </w:r>
      <w:r w:rsidRPr="00BB3634">
        <w:t xml:space="preserve"> </w:t>
      </w:r>
    </w:p>
    <w:p w14:paraId="4DA35669" w14:textId="77777777" w:rsidR="00C97771" w:rsidRPr="00BB3634" w:rsidRDefault="00C97771" w:rsidP="000B18E5">
      <w:pPr>
        <w:pStyle w:val="NoSpacing"/>
      </w:pPr>
    </w:p>
    <w:p w14:paraId="619B6EEC" w14:textId="206ABF9E" w:rsidR="00C97771" w:rsidRPr="00BB3634" w:rsidRDefault="00C97771" w:rsidP="000B18E5">
      <w:pPr>
        <w:pStyle w:val="NoSpacing"/>
      </w:pPr>
      <w:r w:rsidRPr="00BB3634">
        <w:t xml:space="preserve">To determine the seriousness of the infringement under this line of inquiry, a court must look to the interests engaged by the right infringed and examine the extent to which the violation actually impacted on those interests. </w:t>
      </w:r>
      <w:r w:rsidRPr="00BB3634">
        <w:rPr>
          <w:i/>
        </w:rPr>
        <w:t xml:space="preserve">Tsekouras </w:t>
      </w:r>
      <w:r w:rsidRPr="00BB3634">
        <w:t>at para 111.</w:t>
      </w:r>
    </w:p>
    <w:p w14:paraId="462EC98E" w14:textId="77777777" w:rsidR="00C97771" w:rsidRPr="00BB3634" w:rsidRDefault="00C97771" w:rsidP="000B18E5">
      <w:pPr>
        <w:pStyle w:val="NoSpacing"/>
      </w:pPr>
    </w:p>
    <w:p w14:paraId="7CAE3B56" w14:textId="0BF738B6" w:rsidR="00C97771" w:rsidRPr="00BB3634" w:rsidRDefault="00C97771" w:rsidP="000B18E5">
      <w:pPr>
        <w:pStyle w:val="NoSpacing"/>
      </w:pPr>
      <w:r w:rsidRPr="00BB3634">
        <w:t>In assessing the actual impact of a breach on a </w:t>
      </w:r>
      <w:r w:rsidRPr="00BB3634">
        <w:rPr>
          <w:i/>
        </w:rPr>
        <w:t>Charter</w:t>
      </w:r>
      <w:r w:rsidRPr="00BB3634">
        <w:t>-protected interest of an accused, discoverability retains a useful role. The more likely that the evidence would have been obtained without the </w:t>
      </w:r>
      <w:r w:rsidRPr="00BB3634">
        <w:rPr>
          <w:i/>
        </w:rPr>
        <w:t>Charter</w:t>
      </w:r>
      <w:r w:rsidRPr="00BB3634">
        <w:t>-infringing state conduct, the lesser may be the impact of that </w:t>
      </w:r>
      <w:r w:rsidRPr="00BB3634">
        <w:rPr>
          <w:i/>
        </w:rPr>
        <w:t>Charter</w:t>
      </w:r>
      <w:r w:rsidRPr="00BB3634">
        <w:rPr>
          <w:i/>
        </w:rPr>
        <w:softHyphen/>
      </w:r>
      <w:r w:rsidRPr="00BB3634">
        <w:t>-infringing conduct on the underlying interests protected by the </w:t>
      </w:r>
      <w:r w:rsidRPr="00BB3634">
        <w:rPr>
          <w:i/>
        </w:rPr>
        <w:t>Charter</w:t>
      </w:r>
      <w:r w:rsidRPr="00BB3634">
        <w:t> right. The converse is also true. Of course discoverability is a double edged sword. It may signal that the breach of the accused’s right was less serious. But it also renders the state conduct more egregious as the evidence was “discoverable” without breaching the accused’s </w:t>
      </w:r>
      <w:r w:rsidRPr="00BB3634">
        <w:rPr>
          <w:i/>
        </w:rPr>
        <w:t>Charter</w:t>
      </w:r>
      <w:r w:rsidRPr="00BB3634">
        <w:t> rights: </w:t>
      </w:r>
      <w:r w:rsidRPr="00BB3634">
        <w:rPr>
          <w:i/>
        </w:rPr>
        <w:t xml:space="preserve">Tsekouras </w:t>
      </w:r>
      <w:r w:rsidRPr="00BB3634">
        <w:t>at para 112</w:t>
      </w:r>
    </w:p>
    <w:p w14:paraId="264755B7" w14:textId="77777777" w:rsidR="00C97771" w:rsidRPr="00BB3634" w:rsidRDefault="00C97771" w:rsidP="000B18E5">
      <w:pPr>
        <w:pStyle w:val="NoSpacing"/>
      </w:pPr>
    </w:p>
    <w:p w14:paraId="239FBAF5" w14:textId="290766EA" w:rsidR="00351B8D" w:rsidRDefault="00351B8D" w:rsidP="000B18E5">
      <w:pPr>
        <w:pStyle w:val="NoSpacing"/>
      </w:pPr>
      <w:r w:rsidRPr="00BB3634">
        <w:t>The absence of any causal connection between the s. 10(b) breach and the obtaining of the evidence as a factor mitigating the impact of the breach on the appellant’s </w:t>
      </w:r>
      <w:r w:rsidRPr="00BB3634">
        <w:rPr>
          <w:i/>
        </w:rPr>
        <w:t>Charter</w:t>
      </w:r>
      <w:r w:rsidRPr="00BB3634">
        <w:t xml:space="preserve">-protected interests: </w:t>
      </w:r>
      <w:r w:rsidRPr="00BB3634">
        <w:rPr>
          <w:i/>
        </w:rPr>
        <w:t xml:space="preserve">R v Rover, </w:t>
      </w:r>
      <w:hyperlink r:id="rId455" w:history="1">
        <w:r w:rsidRPr="00BB3634">
          <w:rPr>
            <w:rStyle w:val="Hyperlink"/>
          </w:rPr>
          <w:t>2018 ONCA 745</w:t>
        </w:r>
      </w:hyperlink>
      <w:r w:rsidRPr="00BB3634">
        <w:t xml:space="preserve"> at para 43</w:t>
      </w:r>
    </w:p>
    <w:p w14:paraId="1C03F45B" w14:textId="5EC1F643" w:rsidR="008A21F7" w:rsidRDefault="008A21F7" w:rsidP="000B18E5">
      <w:pPr>
        <w:pStyle w:val="NoSpacing"/>
      </w:pPr>
    </w:p>
    <w:p w14:paraId="521152D0" w14:textId="6F87BB55" w:rsidR="008A21F7" w:rsidRPr="008A21F7" w:rsidRDefault="008A21F7" w:rsidP="000B18E5">
      <w:pPr>
        <w:pStyle w:val="NoSpacing"/>
      </w:pPr>
      <w:r>
        <w:t>T</w:t>
      </w:r>
      <w:r w:rsidRPr="008A21F7">
        <w:t>he breach of a person’s rights is not “tempered” by the fact that the police have other evidence of a similar type, properly obtained</w:t>
      </w:r>
      <w:r>
        <w:t xml:space="preserve">. </w:t>
      </w:r>
      <w:r w:rsidRPr="008A21F7">
        <w:t>The maxim “no harm, no foul” has little place in the assessment of a violation of constitutionally protected interests</w:t>
      </w:r>
      <w:r>
        <w:t xml:space="preserve">: </w:t>
      </w:r>
      <w:r>
        <w:rPr>
          <w:i/>
        </w:rPr>
        <w:t xml:space="preserve">R v Mann, </w:t>
      </w:r>
      <w:hyperlink r:id="rId456" w:anchor="_ftnref1" w:history="1">
        <w:r w:rsidRPr="008A21F7">
          <w:rPr>
            <w:rStyle w:val="Hyperlink"/>
          </w:rPr>
          <w:t>2021 ONCA 103</w:t>
        </w:r>
      </w:hyperlink>
      <w:r>
        <w:t>, at para 32</w:t>
      </w:r>
    </w:p>
    <w:p w14:paraId="2DCF4A8F" w14:textId="77777777" w:rsidR="00351B8D" w:rsidRPr="00BB3634" w:rsidRDefault="00351B8D" w:rsidP="000B18E5">
      <w:pPr>
        <w:pStyle w:val="NoSpacing"/>
      </w:pPr>
    </w:p>
    <w:p w14:paraId="3C49D1EA" w14:textId="6EE6DBEE" w:rsidR="00691ADB" w:rsidRPr="00BB3634" w:rsidRDefault="00C97771" w:rsidP="000B18E5">
      <w:pPr>
        <w:pStyle w:val="NoSpacing"/>
      </w:pPr>
      <w:r w:rsidRPr="00BB3634">
        <w:t xml:space="preserve">Re s.8: An unreasonable search that intrudes upon an area in which an individual reasonably enjoys a high expectation of privacy or that demeans a person's dignity is more seriousness than one that does not: </w:t>
      </w:r>
      <w:r w:rsidRPr="00BB3634">
        <w:rPr>
          <w:i/>
        </w:rPr>
        <w:t xml:space="preserve">Tsekouras </w:t>
      </w:r>
      <w:r w:rsidRPr="00BB3634">
        <w:t xml:space="preserve">at para 111. </w:t>
      </w:r>
      <w:r w:rsidR="00691ADB" w:rsidRPr="00BB3634">
        <w:t xml:space="preserve">The impact of even a minimally intrusive search must be weighed against the </w:t>
      </w:r>
      <w:r w:rsidR="00691ADB" w:rsidRPr="00BB3634">
        <w:lastRenderedPageBreak/>
        <w:t>absence of any reasonable basis for justification. The impact of an unjustified search is magnified where there is a total absence of justification for it: </w:t>
      </w:r>
      <w:r w:rsidR="00691ADB" w:rsidRPr="00BB3634">
        <w:rPr>
          <w:i/>
        </w:rPr>
        <w:t>R v Harflett,</w:t>
      </w:r>
      <w:r w:rsidR="00691ADB" w:rsidRPr="00BB3634">
        <w:t> </w:t>
      </w:r>
      <w:r w:rsidR="00691ADB" w:rsidRPr="00BB3634">
        <w:rPr>
          <w:u w:val="single"/>
        </w:rPr>
        <w:t xml:space="preserve">2016 ONCA 248 </w:t>
      </w:r>
      <w:r w:rsidR="00691ADB" w:rsidRPr="00BB3634">
        <w:t>at paras 47, 56</w:t>
      </w:r>
    </w:p>
    <w:p w14:paraId="33AA8475" w14:textId="77777777" w:rsidR="00D235E6" w:rsidRPr="00BB3634" w:rsidRDefault="00D235E6" w:rsidP="000B18E5">
      <w:pPr>
        <w:pStyle w:val="NoSpacing"/>
      </w:pPr>
    </w:p>
    <w:p w14:paraId="7706DF56" w14:textId="494952D2" w:rsidR="00691ADB" w:rsidRPr="00BB3634" w:rsidRDefault="008339F7" w:rsidP="000B18E5">
      <w:pPr>
        <w:pStyle w:val="NoSpacing"/>
      </w:pPr>
      <w:r w:rsidRPr="00BB3634">
        <w:t>For example, while</w:t>
      </w:r>
      <w:r w:rsidR="00691ADB" w:rsidRPr="00BB3634">
        <w:t xml:space="preserve"> drivers have a reduced expectation of privacy in their vehicles</w:t>
      </w:r>
      <w:r w:rsidRPr="00BB3634">
        <w:t>, this</w:t>
      </w:r>
      <w:r w:rsidR="00691ADB" w:rsidRPr="00BB3634">
        <w:t xml:space="preserve"> does not mean that an unjustified search is permissible. </w:t>
      </w:r>
      <w:r w:rsidR="00691ADB" w:rsidRPr="00BB3634">
        <w:rPr>
          <w:i/>
        </w:rPr>
        <w:t>Harflett </w:t>
      </w:r>
      <w:r w:rsidR="00691ADB" w:rsidRPr="00BB3634">
        <w:t>at para 48</w:t>
      </w:r>
    </w:p>
    <w:p w14:paraId="020F56BA" w14:textId="3785A80F" w:rsidR="008339F7" w:rsidRPr="00BB3634" w:rsidRDefault="008339F7" w:rsidP="000B18E5">
      <w:pPr>
        <w:pStyle w:val="NoSpacing"/>
      </w:pPr>
    </w:p>
    <w:p w14:paraId="4BA475A6" w14:textId="3E2EB03F" w:rsidR="00D235E6" w:rsidRPr="00BB3634" w:rsidRDefault="00D235E6" w:rsidP="000B18E5">
      <w:pPr>
        <w:pStyle w:val="NoSpacing"/>
      </w:pPr>
      <w:r w:rsidRPr="00BB3634">
        <w:t xml:space="preserve">A search of a residence involves a serious invasion of privacy interests: </w:t>
      </w:r>
      <w:r w:rsidRPr="00BB3634">
        <w:rPr>
          <w:i/>
        </w:rPr>
        <w:t xml:space="preserve">R v Just, </w:t>
      </w:r>
      <w:hyperlink r:id="rId457" w:history="1">
        <w:r w:rsidRPr="00BB3634">
          <w:rPr>
            <w:rStyle w:val="Hyperlink"/>
          </w:rPr>
          <w:t>2020 ONCA 362</w:t>
        </w:r>
      </w:hyperlink>
      <w:r w:rsidRPr="00BB3634">
        <w:t>, at para 46</w:t>
      </w:r>
    </w:p>
    <w:p w14:paraId="202C333C" w14:textId="5AB6502C" w:rsidR="00D235E6" w:rsidRPr="00BB3634" w:rsidRDefault="00D235E6" w:rsidP="000B18E5">
      <w:pPr>
        <w:pStyle w:val="NoSpacing"/>
      </w:pPr>
    </w:p>
    <w:p w14:paraId="67E754DF" w14:textId="421AC118" w:rsidR="00D235E6" w:rsidRPr="00BB3634" w:rsidRDefault="00D235E6" w:rsidP="000B18E5">
      <w:pPr>
        <w:pStyle w:val="NoSpacing"/>
      </w:pPr>
      <w:r w:rsidRPr="00BB3634">
        <w:t xml:space="preserve">In </w:t>
      </w:r>
      <w:r w:rsidRPr="00BB3634">
        <w:rPr>
          <w:i/>
        </w:rPr>
        <w:t xml:space="preserve">Just, </w:t>
      </w:r>
      <w:r w:rsidRPr="00BB3634">
        <w:t>the Court of Appeal stated that “the privacy interest in a barn and greenhouse is less than a house, and perhaps greater than the leased [farm] field: at para 47</w:t>
      </w:r>
    </w:p>
    <w:p w14:paraId="1F2E9DD9" w14:textId="30AFE194" w:rsidR="00D235E6" w:rsidRPr="00BB3634" w:rsidRDefault="00D235E6" w:rsidP="000B18E5">
      <w:pPr>
        <w:pStyle w:val="NoSpacing"/>
      </w:pPr>
    </w:p>
    <w:p w14:paraId="1D8D2A82" w14:textId="77777777" w:rsidR="00D235E6" w:rsidRPr="00BB3634" w:rsidRDefault="00D235E6" w:rsidP="000B18E5">
      <w:pPr>
        <w:pStyle w:val="NoSpacing"/>
      </w:pPr>
    </w:p>
    <w:p w14:paraId="217EC968" w14:textId="5C0C6F94" w:rsidR="008339F7" w:rsidRPr="00BB3634" w:rsidRDefault="008339F7" w:rsidP="000B18E5">
      <w:pPr>
        <w:pStyle w:val="NoSpacing"/>
      </w:pPr>
      <w:r w:rsidRPr="00BB3634">
        <w:t xml:space="preserve">In </w:t>
      </w:r>
      <w:r w:rsidR="00881204" w:rsidRPr="00BB3634">
        <w:rPr>
          <w:i/>
        </w:rPr>
        <w:t xml:space="preserve">Herta, </w:t>
      </w:r>
      <w:r w:rsidR="00881204" w:rsidRPr="00BB3634">
        <w:t xml:space="preserve">the Court of Appeal found that the impact on the accused’s </w:t>
      </w:r>
      <w:r w:rsidR="00881204" w:rsidRPr="00BB3634">
        <w:rPr>
          <w:i/>
        </w:rPr>
        <w:t xml:space="preserve">Charter </w:t>
      </w:r>
      <w:r w:rsidR="00881204" w:rsidRPr="00BB3634">
        <w:t xml:space="preserve">protected interests </w:t>
      </w:r>
      <w:r w:rsidR="00411E8A" w:rsidRPr="00BB3634">
        <w:t>lay at “the apex of seriousness.</w:t>
      </w:r>
      <w:r w:rsidR="00881204" w:rsidRPr="00BB3634">
        <w:t>”</w:t>
      </w:r>
      <w:r w:rsidR="00411E8A" w:rsidRPr="00BB3634">
        <w:t xml:space="preserve"> In that case, the accused’s home was subject to an unlawful search warrant involving a third party target. The search was highly intrusive, and involved </w:t>
      </w:r>
      <w:r w:rsidR="00B83702" w:rsidRPr="00BB3634">
        <w:t xml:space="preserve">the breaching of the door, multiple police officers, sniffer dogs, Emergency Services Unit, photographs, and searching in floor vents. Although the breach was not very serious, the </w:t>
      </w:r>
      <w:r w:rsidR="00F04B34" w:rsidRPr="00BB3634">
        <w:t xml:space="preserve">serious </w:t>
      </w:r>
      <w:r w:rsidR="00B83702" w:rsidRPr="00BB3634">
        <w:t xml:space="preserve">impact on the accused’s privacy interests </w:t>
      </w:r>
      <w:r w:rsidR="00F04B34" w:rsidRPr="00BB3634">
        <w:t xml:space="preserve">tipped the scale in favour of exclusion: </w:t>
      </w:r>
      <w:r w:rsidR="00F04B34" w:rsidRPr="00BB3634">
        <w:rPr>
          <w:i/>
        </w:rPr>
        <w:t xml:space="preserve">R v Herta, </w:t>
      </w:r>
      <w:hyperlink r:id="rId458" w:history="1">
        <w:r w:rsidR="00F04B34" w:rsidRPr="00BB3634">
          <w:rPr>
            <w:rStyle w:val="Hyperlink"/>
          </w:rPr>
          <w:t>2018 ONCA 927</w:t>
        </w:r>
      </w:hyperlink>
      <w:r w:rsidR="00F04B34" w:rsidRPr="00BB3634">
        <w:t xml:space="preserve">, at paras 60-74 </w:t>
      </w:r>
    </w:p>
    <w:p w14:paraId="599BE993" w14:textId="77777777" w:rsidR="0042114F" w:rsidRPr="00BB3634" w:rsidRDefault="0042114F" w:rsidP="00BB3634">
      <w:pPr>
        <w:spacing w:line="276" w:lineRule="auto"/>
        <w:rPr>
          <w:rFonts w:ascii="Arial" w:hAnsi="Arial" w:cs="Arial"/>
        </w:rPr>
      </w:pPr>
    </w:p>
    <w:p w14:paraId="6DF7421B" w14:textId="02153A01" w:rsidR="0042114F" w:rsidRPr="00BB3634" w:rsidRDefault="0042114F" w:rsidP="000B18E5">
      <w:pPr>
        <w:pStyle w:val="NoSpacing"/>
      </w:pPr>
      <w:r w:rsidRPr="00BB3634">
        <w:t xml:space="preserve">The extent to which a breach undermines the substantial privacy interest in a dwelling house does not vary depending upon whether, in spite of the breach, objective grounds existed: </w:t>
      </w:r>
      <w:r w:rsidRPr="00BB3634">
        <w:rPr>
          <w:i/>
        </w:rPr>
        <w:t xml:space="preserve">R v Lai, </w:t>
      </w:r>
      <w:hyperlink r:id="rId459" w:history="1">
        <w:r w:rsidRPr="00BB3634">
          <w:rPr>
            <w:rStyle w:val="Hyperlink"/>
          </w:rPr>
          <w:t>2019 ONCA 420</w:t>
        </w:r>
      </w:hyperlink>
      <w:r w:rsidRPr="00BB3634">
        <w:t>, at paras 26, 28</w:t>
      </w:r>
    </w:p>
    <w:p w14:paraId="19C5F891" w14:textId="77777777" w:rsidR="0042114F" w:rsidRPr="00BB3634" w:rsidRDefault="0042114F" w:rsidP="000B18E5">
      <w:pPr>
        <w:pStyle w:val="NoSpacing"/>
      </w:pPr>
    </w:p>
    <w:p w14:paraId="7C7E6108" w14:textId="3E4CA791" w:rsidR="00960FE8" w:rsidRPr="00BB3634" w:rsidRDefault="00960FE8" w:rsidP="00BB3634">
      <w:pPr>
        <w:spacing w:line="276" w:lineRule="auto"/>
        <w:jc w:val="both"/>
        <w:rPr>
          <w:rFonts w:ascii="Arial" w:hAnsi="Arial" w:cs="Arial"/>
        </w:rPr>
      </w:pPr>
      <w:r w:rsidRPr="00BB3634">
        <w:rPr>
          <w:rFonts w:ascii="Arial" w:hAnsi="Arial" w:cs="Arial"/>
        </w:rPr>
        <w:t xml:space="preserve">Re s.10: A sufficiently lengthy delay in providing access to counsel, even when the police do not attempt to question the arrested person, has a significant impact </w:t>
      </w:r>
      <w:r w:rsidR="004B3265" w:rsidRPr="00BB3634">
        <w:rPr>
          <w:rFonts w:ascii="Arial" w:hAnsi="Arial" w:cs="Arial"/>
        </w:rPr>
        <w:t xml:space="preserve">on the arrested person’s rights. This is so </w:t>
      </w:r>
      <w:r w:rsidR="004B3265" w:rsidRPr="00BB3634">
        <w:rPr>
          <w:rFonts w:ascii="Arial" w:hAnsi="Arial" w:cs="Arial"/>
          <w:color w:val="000000"/>
        </w:rPr>
        <w:t xml:space="preserve">having regard to the security of the person interest protected by s. 10(b), and the risk posed </w:t>
      </w:r>
      <w:r w:rsidR="007434F2" w:rsidRPr="00BB3634">
        <w:rPr>
          <w:rFonts w:ascii="Arial" w:hAnsi="Arial" w:cs="Arial"/>
          <w:color w:val="000000"/>
        </w:rPr>
        <w:t>to the accused’s right</w:t>
      </w:r>
      <w:r w:rsidR="004B3265" w:rsidRPr="00BB3634">
        <w:rPr>
          <w:rFonts w:ascii="Arial" w:hAnsi="Arial" w:cs="Arial"/>
          <w:color w:val="000000"/>
        </w:rPr>
        <w:t xml:space="preserve"> </w:t>
      </w:r>
      <w:r w:rsidR="007434F2" w:rsidRPr="00BB3634">
        <w:rPr>
          <w:rFonts w:ascii="Arial" w:hAnsi="Arial" w:cs="Arial"/>
          <w:color w:val="000000"/>
        </w:rPr>
        <w:t xml:space="preserve">against </w:t>
      </w:r>
      <w:r w:rsidR="004B3265" w:rsidRPr="00BB3634">
        <w:rPr>
          <w:rFonts w:ascii="Arial" w:hAnsi="Arial" w:cs="Arial"/>
          <w:color w:val="000000"/>
        </w:rPr>
        <w:t xml:space="preserve">self-incrimination </w:t>
      </w:r>
      <w:r w:rsidRPr="00BB3634">
        <w:rPr>
          <w:rFonts w:ascii="Arial" w:hAnsi="Arial" w:cs="Arial"/>
        </w:rPr>
        <w:t xml:space="preserve"> </w:t>
      </w:r>
      <w:r w:rsidRPr="00BB3634">
        <w:rPr>
          <w:rFonts w:ascii="Arial" w:hAnsi="Arial" w:cs="Arial"/>
          <w:i/>
        </w:rPr>
        <w:t xml:space="preserve">R v Rover, </w:t>
      </w:r>
      <w:hyperlink r:id="rId460" w:history="1">
        <w:r w:rsidRPr="00BB3634">
          <w:rPr>
            <w:rStyle w:val="Hyperlink"/>
            <w:rFonts w:ascii="Arial" w:hAnsi="Arial" w:cs="Arial"/>
          </w:rPr>
          <w:t>2018 ONCA 745</w:t>
        </w:r>
      </w:hyperlink>
      <w:r w:rsidRPr="00BB3634">
        <w:rPr>
          <w:rFonts w:ascii="Arial" w:hAnsi="Arial" w:cs="Arial"/>
        </w:rPr>
        <w:t xml:space="preserve"> at para 44</w:t>
      </w:r>
    </w:p>
    <w:p w14:paraId="1DC5339B" w14:textId="7963BD97" w:rsidR="004B1540" w:rsidRPr="00BB3634" w:rsidRDefault="004B1540" w:rsidP="00BB3634">
      <w:pPr>
        <w:spacing w:line="276" w:lineRule="auto"/>
        <w:jc w:val="both"/>
        <w:rPr>
          <w:rFonts w:ascii="Arial" w:hAnsi="Arial" w:cs="Arial"/>
        </w:rPr>
      </w:pPr>
    </w:p>
    <w:p w14:paraId="026D3ADA" w14:textId="77777777" w:rsidR="004B1540" w:rsidRPr="00BB3634" w:rsidRDefault="004B1540" w:rsidP="00BB3634">
      <w:pPr>
        <w:spacing w:line="276" w:lineRule="auto"/>
        <w:jc w:val="both"/>
        <w:rPr>
          <w:rFonts w:ascii="Arial" w:hAnsi="Arial" w:cs="Arial"/>
        </w:rPr>
      </w:pPr>
    </w:p>
    <w:p w14:paraId="341750AE" w14:textId="388F34D1" w:rsidR="004B1540" w:rsidRPr="00BB3634" w:rsidRDefault="004B1540" w:rsidP="000B18E5">
      <w:pPr>
        <w:pStyle w:val="NoSpacing"/>
      </w:pPr>
      <w:r w:rsidRPr="00BB3634">
        <w:t xml:space="preserve">The privacy interests in cell phone records is “one that is significantly reduced,” which accordingly militates any impact on one’s </w:t>
      </w:r>
      <w:r w:rsidRPr="003C3AEC">
        <w:rPr>
          <w:i/>
        </w:rPr>
        <w:t>Charter</w:t>
      </w:r>
      <w:r w:rsidRPr="00BB3634">
        <w:t xml:space="preserve"> protected interests: </w:t>
      </w:r>
      <w:r w:rsidRPr="00BB3634">
        <w:rPr>
          <w:i/>
        </w:rPr>
        <w:t xml:space="preserve">R v Baskaran, </w:t>
      </w:r>
      <w:hyperlink r:id="rId461" w:history="1">
        <w:r w:rsidRPr="00BB3634">
          <w:rPr>
            <w:rStyle w:val="Hyperlink"/>
          </w:rPr>
          <w:t>2020 ONCA 25</w:t>
        </w:r>
      </w:hyperlink>
      <w:r w:rsidRPr="00BB3634">
        <w:t>, at para 29</w:t>
      </w:r>
    </w:p>
    <w:p w14:paraId="4F581AE6" w14:textId="77777777" w:rsidR="004B1540" w:rsidRPr="00BB3634" w:rsidRDefault="004B1540" w:rsidP="00BB3634">
      <w:pPr>
        <w:spacing w:line="276" w:lineRule="auto"/>
        <w:jc w:val="both"/>
        <w:rPr>
          <w:rFonts w:ascii="Arial" w:hAnsi="Arial" w:cs="Arial"/>
        </w:rPr>
      </w:pPr>
    </w:p>
    <w:p w14:paraId="32F79878" w14:textId="573EE644" w:rsidR="00691ADB" w:rsidRPr="00BB3634" w:rsidRDefault="00691ADB" w:rsidP="000B18E5">
      <w:pPr>
        <w:pStyle w:val="NoSpacing"/>
      </w:pPr>
    </w:p>
    <w:p w14:paraId="06B96384" w14:textId="08AA8871" w:rsidR="008D6DAD" w:rsidRPr="00BB3634" w:rsidRDefault="00691ADB" w:rsidP="007A6720">
      <w:pPr>
        <w:pStyle w:val="Heading3"/>
      </w:pPr>
      <w:bookmarkStart w:id="173" w:name="_Toc94360253"/>
      <w:r w:rsidRPr="00BB3634">
        <w:t xml:space="preserve">Step 3: </w:t>
      </w:r>
      <w:r w:rsidR="008D6DAD" w:rsidRPr="00BB3634">
        <w:t>Society’s Interest in a Trial on the Merits</w:t>
      </w:r>
      <w:bookmarkEnd w:id="173"/>
    </w:p>
    <w:p w14:paraId="137C75A0" w14:textId="77777777" w:rsidR="00EF5D24" w:rsidRPr="00BB3634" w:rsidRDefault="00EF5D24" w:rsidP="000B18E5">
      <w:pPr>
        <w:pStyle w:val="NoSpacing"/>
      </w:pPr>
    </w:p>
    <w:p w14:paraId="75389906" w14:textId="63A386EF" w:rsidR="008D6DAD" w:rsidRPr="00BB3634" w:rsidRDefault="008D6DAD" w:rsidP="000B18E5">
      <w:pPr>
        <w:pStyle w:val="NoSpacing"/>
      </w:pPr>
      <w:r w:rsidRPr="00BB3634">
        <w:t>The third inquiry is a matter of assessing the harms to individuals and groups in a society caused by the offence in question. This is an objective assessment of safeguarding society’s interests – rather than responding to public outcry or expression of public concern: </w:t>
      </w:r>
      <w:r w:rsidRPr="00BB3634">
        <w:rPr>
          <w:i/>
        </w:rPr>
        <w:t>R v Ting, </w:t>
      </w:r>
      <w:r w:rsidRPr="00BB3634">
        <w:t>2016 ONCA 57 at para 84</w:t>
      </w:r>
    </w:p>
    <w:p w14:paraId="17536A60" w14:textId="77777777" w:rsidR="008D6DAD" w:rsidRPr="00BB3634" w:rsidRDefault="008D6DAD" w:rsidP="000B18E5">
      <w:pPr>
        <w:pStyle w:val="NoSpacing"/>
      </w:pPr>
      <w:r w:rsidRPr="00BB3634">
        <w:rPr>
          <w:rStyle w:val="wixguard"/>
        </w:rPr>
        <w:t>​</w:t>
      </w:r>
    </w:p>
    <w:p w14:paraId="7624ADA1" w14:textId="77777777" w:rsidR="008D6DAD" w:rsidRPr="00BB3634" w:rsidRDefault="008D6DAD" w:rsidP="000B18E5">
      <w:pPr>
        <w:pStyle w:val="NoSpacing"/>
      </w:pPr>
      <w:r w:rsidRPr="00BB3634">
        <w:t>The third Grant factor cannot be used to systematically require the admission of reliable evidence obtained in plain disregard of an accused’s Charter rights: </w:t>
      </w:r>
      <w:r w:rsidRPr="00BB3634">
        <w:rPr>
          <w:i/>
        </w:rPr>
        <w:t>R v Harflett, </w:t>
      </w:r>
      <w:r w:rsidRPr="00BB3634">
        <w:rPr>
          <w:u w:val="single"/>
        </w:rPr>
        <w:t>2016 ONCA 248</w:t>
      </w:r>
      <w:r w:rsidRPr="00BB3634">
        <w:t> at para 54</w:t>
      </w:r>
    </w:p>
    <w:p w14:paraId="48796C32" w14:textId="77777777" w:rsidR="008D6DAD" w:rsidRPr="00BB3634" w:rsidRDefault="008D6DAD" w:rsidP="00BB3634">
      <w:pPr>
        <w:spacing w:line="276" w:lineRule="auto"/>
        <w:rPr>
          <w:rFonts w:ascii="Arial" w:hAnsi="Arial" w:cs="Arial"/>
        </w:rPr>
      </w:pPr>
    </w:p>
    <w:p w14:paraId="475CAAB1" w14:textId="279B3851" w:rsidR="008D6DAD" w:rsidRPr="00BB3634" w:rsidRDefault="00D23AF9" w:rsidP="007A6720">
      <w:pPr>
        <w:pStyle w:val="Heading3"/>
      </w:pPr>
      <w:bookmarkStart w:id="174" w:name="_Toc94360254"/>
      <w:r w:rsidRPr="00BB3634">
        <w:t>B</w:t>
      </w:r>
      <w:r w:rsidR="00691ADB" w:rsidRPr="00BB3634">
        <w:t xml:space="preserve">alancing the </w:t>
      </w:r>
      <w:r w:rsidRPr="00BB3634">
        <w:t>I</w:t>
      </w:r>
      <w:r w:rsidR="00691ADB" w:rsidRPr="00BB3634">
        <w:t xml:space="preserve">nterests of the </w:t>
      </w:r>
      <w:r w:rsidRPr="00BB3634">
        <w:t>I</w:t>
      </w:r>
      <w:r w:rsidR="00691ADB" w:rsidRPr="00BB3634">
        <w:t xml:space="preserve">ndividual and </w:t>
      </w:r>
      <w:r w:rsidRPr="00BB3634">
        <w:t>S</w:t>
      </w:r>
      <w:r w:rsidR="00691ADB" w:rsidRPr="00BB3634">
        <w:t>ociety</w:t>
      </w:r>
      <w:bookmarkEnd w:id="174"/>
    </w:p>
    <w:p w14:paraId="3A08ACDE" w14:textId="77777777" w:rsidR="00551A4E" w:rsidRPr="00BB3634" w:rsidRDefault="00551A4E" w:rsidP="000B18E5">
      <w:pPr>
        <w:pStyle w:val="NoSpacing"/>
      </w:pPr>
    </w:p>
    <w:p w14:paraId="52B9910D" w14:textId="387F4D02" w:rsidR="00551A4E" w:rsidRPr="00BB3634" w:rsidRDefault="00551A4E" w:rsidP="000B18E5">
      <w:pPr>
        <w:pStyle w:val="NoSpacing"/>
      </w:pPr>
      <w:r w:rsidRPr="00BB3634">
        <w:t xml:space="preserve">No overarching rule governs how the balance is to be struck:  </w:t>
      </w:r>
      <w:r w:rsidRPr="00BB3634">
        <w:rPr>
          <w:i/>
        </w:rPr>
        <w:t xml:space="preserve">R v Gonzales, </w:t>
      </w:r>
      <w:hyperlink r:id="rId462" w:history="1">
        <w:r w:rsidRPr="00BB3634">
          <w:rPr>
            <w:rStyle w:val="Hyperlink"/>
          </w:rPr>
          <w:t>2017 ONCA 543</w:t>
        </w:r>
      </w:hyperlink>
      <w:r w:rsidRPr="00BB3634">
        <w:t xml:space="preserve"> at para 161</w:t>
      </w:r>
    </w:p>
    <w:p w14:paraId="25A6CF97" w14:textId="77777777" w:rsidR="00EE7310" w:rsidRPr="00BB3634" w:rsidRDefault="00EE7310" w:rsidP="000B18E5">
      <w:pPr>
        <w:pStyle w:val="NoSpacing"/>
      </w:pPr>
    </w:p>
    <w:p w14:paraId="35D119F6" w14:textId="5CAED405" w:rsidR="008D6DAD" w:rsidRPr="00BB3634" w:rsidRDefault="00551A4E" w:rsidP="000B18E5">
      <w:pPr>
        <w:pStyle w:val="NoSpacing"/>
      </w:pPr>
      <w:r w:rsidRPr="00BB3634">
        <w:t xml:space="preserve"> </w:t>
      </w:r>
      <w:r w:rsidR="008D6DAD" w:rsidRPr="00BB3634">
        <w:t>The first two lines of inquiry work together. Singly and in combination they pull towards exclusion of constitutionally-tainted evidence. The strength of the claim for exclusion equals the sum of the first two inquiries. The third and final inquiry resists this combined influence, pulling in the opposite direction with especial force when the evidence is reliable and crucial to the case for the Crown: </w:t>
      </w:r>
      <w:r w:rsidR="008D6DAD" w:rsidRPr="00BB3634">
        <w:rPr>
          <w:i/>
        </w:rPr>
        <w:t>R. v. McGuffie</w:t>
      </w:r>
      <w:r w:rsidR="008D6DAD" w:rsidRPr="00BB3634">
        <w:t xml:space="preserve">, 2016 ONCA 365, </w:t>
      </w:r>
      <w:r w:rsidR="008D6DAD" w:rsidRPr="00BB3634">
        <w:rPr>
          <w:i/>
        </w:rPr>
        <w:t xml:space="preserve">R v Gonzales, </w:t>
      </w:r>
      <w:hyperlink r:id="rId463" w:history="1">
        <w:r w:rsidR="008D6DAD" w:rsidRPr="00BB3634">
          <w:rPr>
            <w:rStyle w:val="Hyperlink"/>
          </w:rPr>
          <w:t>2017 ONCA 543</w:t>
        </w:r>
      </w:hyperlink>
      <w:r w:rsidR="008D6DAD" w:rsidRPr="00BB3634">
        <w:t xml:space="preserve"> at para 156</w:t>
      </w:r>
    </w:p>
    <w:p w14:paraId="0B76A861" w14:textId="77777777" w:rsidR="00EE7310" w:rsidRPr="00BB3634" w:rsidRDefault="00EE7310" w:rsidP="000B18E5">
      <w:pPr>
        <w:pStyle w:val="NoSpacing"/>
      </w:pPr>
    </w:p>
    <w:p w14:paraId="31DDC769" w14:textId="49C5A622" w:rsidR="008D6DAD" w:rsidRPr="00BB3634" w:rsidRDefault="008D6DAD" w:rsidP="000B18E5">
      <w:pPr>
        <w:pStyle w:val="NoSpacing"/>
      </w:pPr>
      <w:r w:rsidRPr="00BB3634">
        <w:t>Where the first two lines of inquiry under </w:t>
      </w:r>
      <w:r w:rsidRPr="00BB3634">
        <w:rPr>
          <w:i/>
        </w:rPr>
        <w:t>Grant</w:t>
      </w:r>
      <w:r w:rsidRPr="00BB3634">
        <w:t> advance a strong case for exclusion, the third line of inquiry will rarely, if ever, tip the balance in favour of admissibility. On the other hand, where the first two lines of inquiry offer weaker support for exclusion, the third line of inquiry will almost certainly confirm the admissibility of the evidence: </w:t>
      </w:r>
      <w:r w:rsidRPr="00BB3634">
        <w:rPr>
          <w:i/>
        </w:rPr>
        <w:t>McGuffie</w:t>
      </w:r>
      <w:r w:rsidRPr="00BB3634">
        <w:t>, at para. 63; </w:t>
      </w:r>
      <w:r w:rsidR="004D2EC6" w:rsidRPr="00BB3634">
        <w:rPr>
          <w:i/>
        </w:rPr>
        <w:t xml:space="preserve">Gonzales </w:t>
      </w:r>
      <w:r w:rsidR="004D2EC6" w:rsidRPr="00BB3634">
        <w:t>at para 157</w:t>
      </w:r>
    </w:p>
    <w:p w14:paraId="4A0E406D" w14:textId="77777777" w:rsidR="008D6DAD" w:rsidRPr="00BB3634" w:rsidRDefault="008D6DAD" w:rsidP="000B18E5">
      <w:pPr>
        <w:pStyle w:val="NoSpacing"/>
      </w:pPr>
    </w:p>
    <w:p w14:paraId="5C18595F" w14:textId="25F19168" w:rsidR="004F3724" w:rsidRPr="00BB3634" w:rsidRDefault="004F3724" w:rsidP="000B18E5">
      <w:pPr>
        <w:pStyle w:val="NoSpacing"/>
      </w:pPr>
      <w:r w:rsidRPr="00BB3634">
        <w:t>Where different officers gathered evidence through different means. In that situation, one might be able to distinguish the impact of </w:t>
      </w:r>
      <w:r w:rsidRPr="00BB3634">
        <w:rPr>
          <w:i/>
        </w:rPr>
        <w:t>Charter</w:t>
      </w:r>
      <w:r w:rsidRPr="00BB3634">
        <w:t xml:space="preserve"> breaches from some pieces of evidence over others, and thereby exclude some evidence and not other evidence: </w:t>
      </w:r>
      <w:r w:rsidRPr="00BB3634">
        <w:rPr>
          <w:i/>
        </w:rPr>
        <w:t xml:space="preserve">R v Adler, </w:t>
      </w:r>
      <w:hyperlink r:id="rId464" w:history="1">
        <w:r w:rsidRPr="00BB3634">
          <w:rPr>
            <w:rStyle w:val="Hyperlink"/>
          </w:rPr>
          <w:t>2020 ONCA 246</w:t>
        </w:r>
      </w:hyperlink>
      <w:r w:rsidRPr="00BB3634">
        <w:t xml:space="preserve">, at para 50 </w:t>
      </w:r>
    </w:p>
    <w:p w14:paraId="5EE1B4D3" w14:textId="77777777" w:rsidR="00B022DD" w:rsidRPr="00BB3634" w:rsidRDefault="00B022DD" w:rsidP="000B18E5">
      <w:pPr>
        <w:pStyle w:val="NoSpacing"/>
      </w:pPr>
    </w:p>
    <w:p w14:paraId="06BA1395" w14:textId="77777777" w:rsidR="00551A4E" w:rsidRPr="00BB3634" w:rsidRDefault="00551A4E" w:rsidP="000B18E5">
      <w:pPr>
        <w:pStyle w:val="NoSpacing"/>
      </w:pPr>
    </w:p>
    <w:p w14:paraId="79DC8D72" w14:textId="3F8EA58F" w:rsidR="00551A4E" w:rsidRPr="00BB3634" w:rsidRDefault="009C2A75" w:rsidP="00BB3634">
      <w:pPr>
        <w:pStyle w:val="Heading1"/>
        <w:spacing w:line="276" w:lineRule="auto"/>
        <w:rPr>
          <w:sz w:val="24"/>
          <w:szCs w:val="24"/>
        </w:rPr>
      </w:pPr>
      <w:r w:rsidRPr="00BB3634">
        <w:rPr>
          <w:sz w:val="24"/>
          <w:szCs w:val="24"/>
        </w:rPr>
        <w:lastRenderedPageBreak/>
        <w:t xml:space="preserve"> </w:t>
      </w:r>
      <w:bookmarkStart w:id="175" w:name="_Toc94360255"/>
      <w:r w:rsidRPr="00BB3634">
        <w:rPr>
          <w:sz w:val="24"/>
          <w:szCs w:val="24"/>
        </w:rPr>
        <w:t>RACIAL PROFILING</w:t>
      </w:r>
      <w:bookmarkEnd w:id="175"/>
    </w:p>
    <w:p w14:paraId="3C5851AF" w14:textId="77777777" w:rsidR="008A0593" w:rsidRPr="00BB3634" w:rsidRDefault="008A0593" w:rsidP="00BB3634">
      <w:pPr>
        <w:spacing w:line="276" w:lineRule="auto"/>
        <w:rPr>
          <w:rFonts w:ascii="Arial" w:hAnsi="Arial" w:cs="Arial"/>
        </w:rPr>
      </w:pPr>
    </w:p>
    <w:p w14:paraId="3E5E8E14" w14:textId="25511FA1" w:rsidR="00FF0DD6" w:rsidRPr="00BB3634" w:rsidRDefault="00FF0DD6" w:rsidP="000B18E5">
      <w:pPr>
        <w:pStyle w:val="NoSpacing"/>
      </w:pPr>
      <w:r w:rsidRPr="00BB3634">
        <w:t xml:space="preserve">Racial profiling has two components: (1) an attitudinal component; and (2) a causation component. The attitudinal component is the acceptance by a person in authority, such as a police officer, that race or racial stereotypes are relevant in identifying the propensity to offend or to be dangerous. The causation component requires that this race-based thinking must consciously or unconsciously play a causal role. </w:t>
      </w:r>
    </w:p>
    <w:p w14:paraId="79ED1298" w14:textId="77777777" w:rsidR="00FF0DD6" w:rsidRPr="00BB3634" w:rsidRDefault="00FF0DD6" w:rsidP="000B18E5">
      <w:pPr>
        <w:pStyle w:val="NoSpacing"/>
      </w:pPr>
    </w:p>
    <w:p w14:paraId="310EF116" w14:textId="24DE361C" w:rsidR="00FF0DD6" w:rsidRPr="00BB3634" w:rsidRDefault="00FF0DD6" w:rsidP="000B18E5">
      <w:pPr>
        <w:pStyle w:val="NoSpacing"/>
      </w:pPr>
      <w:r w:rsidRPr="00BB3634">
        <w:t xml:space="preserve">Racial profiling occurs where race or racial stereotypes are used </w:t>
      </w:r>
      <w:r w:rsidRPr="00BB3634">
        <w:rPr>
          <w:u w:val="single"/>
        </w:rPr>
        <w:t>to any degree</w:t>
      </w:r>
      <w:r w:rsidRPr="00BB3634">
        <w:t> in suspect selection or subject treatment, regardless of whether articulable cause otherwise exists</w:t>
      </w:r>
      <w:r w:rsidR="00A82635" w:rsidRPr="00BB3634">
        <w:t xml:space="preserve">: </w:t>
      </w:r>
      <w:r w:rsidR="00A82635" w:rsidRPr="00BB3634">
        <w:rPr>
          <w:i/>
        </w:rPr>
        <w:t xml:space="preserve">R v Dudhi, </w:t>
      </w:r>
      <w:hyperlink r:id="rId465" w:history="1">
        <w:r w:rsidR="00A82635" w:rsidRPr="00BB3634">
          <w:rPr>
            <w:rStyle w:val="Hyperlink"/>
          </w:rPr>
          <w:t>2019 ONCA 665</w:t>
        </w:r>
      </w:hyperlink>
      <w:r w:rsidR="00A82635" w:rsidRPr="00BB3634">
        <w:t>, at paras 54-66</w:t>
      </w:r>
    </w:p>
    <w:p w14:paraId="31FF5DBE" w14:textId="63E99428" w:rsidR="00FF0DD6" w:rsidRPr="00BB3634" w:rsidRDefault="00FF0DD6" w:rsidP="00BB3634">
      <w:pPr>
        <w:widowControl w:val="0"/>
        <w:autoSpaceDE w:val="0"/>
        <w:autoSpaceDN w:val="0"/>
        <w:adjustRightInd w:val="0"/>
        <w:spacing w:line="276" w:lineRule="auto"/>
        <w:rPr>
          <w:rFonts w:ascii="Arial" w:hAnsi="Arial" w:cs="Arial"/>
        </w:rPr>
      </w:pPr>
    </w:p>
    <w:p w14:paraId="56FA7BD3" w14:textId="62D84F64" w:rsidR="00A82635" w:rsidRPr="00BB3634" w:rsidRDefault="00A82635" w:rsidP="000B18E5">
      <w:pPr>
        <w:pStyle w:val="NoSpacing"/>
      </w:pPr>
      <w:r w:rsidRPr="00BB3634">
        <w:t xml:space="preserve">A well-known risk factor for racial profiling is that the accused is a man of colour who is driving an expensive car is: </w:t>
      </w:r>
      <w:r w:rsidRPr="00BB3634">
        <w:rPr>
          <w:i/>
        </w:rPr>
        <w:t xml:space="preserve">R v Dudhi, </w:t>
      </w:r>
      <w:hyperlink r:id="rId466" w:history="1">
        <w:r w:rsidRPr="00BB3634">
          <w:rPr>
            <w:rStyle w:val="Hyperlink"/>
          </w:rPr>
          <w:t>2019 ONCA 665</w:t>
        </w:r>
      </w:hyperlink>
      <w:r w:rsidRPr="00BB3634">
        <w:t>, at para 79</w:t>
      </w:r>
    </w:p>
    <w:p w14:paraId="1F6A87AC" w14:textId="54E38AE1" w:rsidR="009C7889" w:rsidRPr="00BB3634" w:rsidRDefault="009C7889" w:rsidP="000B18E5">
      <w:pPr>
        <w:pStyle w:val="NoSpacing"/>
      </w:pPr>
    </w:p>
    <w:p w14:paraId="4674AD42" w14:textId="01651F42" w:rsidR="009C7889" w:rsidRPr="00BB3634" w:rsidRDefault="009C7889" w:rsidP="000B18E5">
      <w:pPr>
        <w:pStyle w:val="NoSpacing"/>
      </w:pPr>
      <w:r w:rsidRPr="00BB3634">
        <w:t xml:space="preserve">Racial profiling may be proved where [W] the evidence shows that the circumstances relating to a detention correspond to the phenomenon of racial profiling, and provide a basis for the court to infer that the police officer is lying about why he or she singled out the accused person for attention: </w:t>
      </w:r>
      <w:r w:rsidRPr="00BB3634">
        <w:rPr>
          <w:i/>
        </w:rPr>
        <w:t xml:space="preserve">Dudhi, </w:t>
      </w:r>
      <w:r w:rsidRPr="00BB3634">
        <w:t>at para 80</w:t>
      </w:r>
    </w:p>
    <w:p w14:paraId="05278D61" w14:textId="4C5C5EDC" w:rsidR="009C7889" w:rsidRDefault="009C7889" w:rsidP="00BB3634">
      <w:pPr>
        <w:spacing w:line="276" w:lineRule="auto"/>
        <w:rPr>
          <w:rFonts w:ascii="Arial" w:hAnsi="Arial" w:cs="Arial"/>
        </w:rPr>
      </w:pPr>
    </w:p>
    <w:p w14:paraId="14A80FE8" w14:textId="5B83B1F2" w:rsidR="00E57072" w:rsidRDefault="00E57072" w:rsidP="00E57072">
      <w:pPr>
        <w:pStyle w:val="NoSpacing"/>
      </w:pPr>
      <w:r>
        <w:t xml:space="preserve">The </w:t>
      </w:r>
      <w:r w:rsidRPr="00E57072">
        <w:t>focus of the correspondence test is not necessarily whether the circumstances demonstrate that the officer was lying, i.e. deliberately misleading the court, but rather, whether the circumstances give the court a basis to reject the officer’s evidence as untrue because they are indicative of racial profiling</w:t>
      </w:r>
      <w:r>
        <w:t xml:space="preserve">: </w:t>
      </w:r>
      <w:r>
        <w:rPr>
          <w:i/>
          <w:iCs w:val="0"/>
        </w:rPr>
        <w:t xml:space="preserve">R v Sitladeen, </w:t>
      </w:r>
      <w:hyperlink r:id="rId467" w:history="1">
        <w:r w:rsidRPr="00E57072">
          <w:rPr>
            <w:rStyle w:val="Hyperlink"/>
          </w:rPr>
          <w:t>2021 ONCA 303</w:t>
        </w:r>
      </w:hyperlink>
      <w:r>
        <w:t>, at para 48; see paras 80-82</w:t>
      </w:r>
    </w:p>
    <w:p w14:paraId="087EA1F6" w14:textId="7D180380" w:rsidR="00E57072" w:rsidRDefault="00E57072" w:rsidP="00E57072">
      <w:pPr>
        <w:pStyle w:val="NoSpacing"/>
      </w:pPr>
    </w:p>
    <w:p w14:paraId="3BDDD92B" w14:textId="0C69D87A" w:rsidR="00E57072" w:rsidRPr="00E57072" w:rsidRDefault="00E57072" w:rsidP="00E57072">
      <w:pPr>
        <w:pStyle w:val="NoSpacing"/>
      </w:pPr>
      <w:r w:rsidRPr="00E57072">
        <w:t>This approach to the correspondence test is consistent with the concept of unconscious bias, where a person either does not recognize, or does not acknowledge his own bias.</w:t>
      </w:r>
      <w:bookmarkStart w:id="176" w:name="_ftnref4"/>
      <w:r w:rsidRPr="00E57072">
        <w:fldChar w:fldCharType="begin"/>
      </w:r>
      <w:r w:rsidRPr="00E57072">
        <w:instrText xml:space="preserve"> HYPERLINK "https://www.ontariocourts.ca/decisions/2021/2021ONCA0303.htm" \l "_ftn4" \o "" </w:instrText>
      </w:r>
      <w:r w:rsidR="00E32F34">
        <w:fldChar w:fldCharType="separate"/>
      </w:r>
      <w:r w:rsidRPr="00E57072">
        <w:fldChar w:fldCharType="end"/>
      </w:r>
      <w:bookmarkEnd w:id="176"/>
      <w:r w:rsidRPr="00E57072">
        <w:t> An officer who has unconsciously allowed racial stereotypes to influence his decision to detain a racialized person may not believe he is being untruthful, and therefore may not be lying when he testifies that racial stereotypes played no role in the decision. Nevertheless, a trial judge is entitled to reject that evidence as untruthful, if the judge is satisfied, based on the circumstances consistent with racial profiling, that unconscious bias and racial profiling were factors in the decision</w:t>
      </w:r>
      <w:r>
        <w:t xml:space="preserve">: </w:t>
      </w:r>
      <w:r>
        <w:rPr>
          <w:i/>
          <w:iCs w:val="0"/>
        </w:rPr>
        <w:t xml:space="preserve">R v Sitladeen, </w:t>
      </w:r>
      <w:hyperlink r:id="rId468" w:history="1">
        <w:r w:rsidRPr="00E57072">
          <w:rPr>
            <w:rStyle w:val="Hyperlink"/>
          </w:rPr>
          <w:t>2021 ONCA 303</w:t>
        </w:r>
      </w:hyperlink>
      <w:r>
        <w:t>, at para 49</w:t>
      </w:r>
    </w:p>
    <w:p w14:paraId="370808F8" w14:textId="2CBBFF3E" w:rsidR="0033390A" w:rsidRPr="00BB3634" w:rsidRDefault="0033390A" w:rsidP="000B18E5">
      <w:pPr>
        <w:pStyle w:val="NoSpacing"/>
      </w:pPr>
      <w:r w:rsidRPr="00BB3634">
        <w:lastRenderedPageBreak/>
        <w:t xml:space="preserve">For a comprehensive review of the jurisprudence in this area, see David M Tanovich, “Applying the Racial Profiling Correspondence Test.” </w:t>
      </w:r>
    </w:p>
    <w:p w14:paraId="051AD4F5" w14:textId="77777777" w:rsidR="0033390A" w:rsidRPr="00BB3634" w:rsidRDefault="0033390A" w:rsidP="00BB3634">
      <w:pPr>
        <w:widowControl w:val="0"/>
        <w:autoSpaceDE w:val="0"/>
        <w:autoSpaceDN w:val="0"/>
        <w:adjustRightInd w:val="0"/>
        <w:spacing w:line="276" w:lineRule="auto"/>
        <w:rPr>
          <w:rFonts w:ascii="Arial" w:hAnsi="Arial" w:cs="Arial"/>
        </w:rPr>
      </w:pPr>
    </w:p>
    <w:p w14:paraId="79F937AE" w14:textId="4A4CF333" w:rsidR="008A0593" w:rsidRPr="00BB3634" w:rsidRDefault="00E32F34" w:rsidP="00BB3634">
      <w:pPr>
        <w:widowControl w:val="0"/>
        <w:autoSpaceDE w:val="0"/>
        <w:autoSpaceDN w:val="0"/>
        <w:adjustRightInd w:val="0"/>
        <w:spacing w:line="276" w:lineRule="auto"/>
        <w:rPr>
          <w:rFonts w:ascii="Arial" w:hAnsi="Arial" w:cs="Arial"/>
        </w:rPr>
      </w:pPr>
      <w:hyperlink r:id="rId469" w:history="1">
        <w:r w:rsidR="0033390A" w:rsidRPr="00BB3634">
          <w:rPr>
            <w:rStyle w:val="Hyperlink"/>
            <w:rFonts w:ascii="Arial" w:hAnsi="Arial" w:cs="Arial"/>
          </w:rPr>
          <w:t>https://poseidon01.ssrn.com/delivery.php?ID=288029089119125071069078025012024091103043056088031004087020082093070118089004105068017098101006051012034021073005112069017011122090028033029002092127015101074125081064019002103113004107021101077085126099080066093097099085067095091107096003031114096&amp;EXT=pdf</w:t>
        </w:r>
      </w:hyperlink>
    </w:p>
    <w:p w14:paraId="451BF1CD" w14:textId="77777777" w:rsidR="0033390A" w:rsidRPr="00BB3634" w:rsidRDefault="0033390A" w:rsidP="00BB3634">
      <w:pPr>
        <w:widowControl w:val="0"/>
        <w:autoSpaceDE w:val="0"/>
        <w:autoSpaceDN w:val="0"/>
        <w:adjustRightInd w:val="0"/>
        <w:spacing w:line="276" w:lineRule="auto"/>
        <w:rPr>
          <w:rFonts w:ascii="Arial" w:hAnsi="Arial" w:cs="Arial"/>
        </w:rPr>
      </w:pPr>
    </w:p>
    <w:p w14:paraId="71685DEB" w14:textId="49E8AADC" w:rsidR="0033390A" w:rsidRPr="00BB3634" w:rsidRDefault="0033390A" w:rsidP="000B18E5">
      <w:pPr>
        <w:pStyle w:val="NoSpacing"/>
      </w:pPr>
      <w:r w:rsidRPr="00BB3634">
        <w:t xml:space="preserve">For civil rewards for racial profiling, see Elmardy v Toronto Police Services Board, </w:t>
      </w:r>
      <w:hyperlink r:id="rId470" w:history="1">
        <w:r w:rsidRPr="00BB3634">
          <w:rPr>
            <w:rStyle w:val="Hyperlink"/>
            <w:color w:val="000000" w:themeColor="text1"/>
            <w:u w:val="none"/>
          </w:rPr>
          <w:t>2017 ONSC 2074</w:t>
        </w:r>
      </w:hyperlink>
    </w:p>
    <w:p w14:paraId="23426823" w14:textId="77777777" w:rsidR="008A0593" w:rsidRPr="00BB3634" w:rsidRDefault="008A0593" w:rsidP="00BB3634">
      <w:pPr>
        <w:spacing w:line="276" w:lineRule="auto"/>
        <w:rPr>
          <w:rFonts w:ascii="Arial" w:hAnsi="Arial" w:cs="Arial"/>
        </w:rPr>
      </w:pPr>
    </w:p>
    <w:p w14:paraId="578B2C1A" w14:textId="77777777" w:rsidR="0033390A" w:rsidRPr="00BB3634" w:rsidRDefault="0033390A" w:rsidP="00BB3634">
      <w:pPr>
        <w:spacing w:line="276" w:lineRule="auto"/>
        <w:rPr>
          <w:rFonts w:ascii="Arial" w:hAnsi="Arial" w:cs="Arial"/>
        </w:rPr>
      </w:pPr>
    </w:p>
    <w:p w14:paraId="7DEF9A93" w14:textId="523A6964" w:rsidR="0033390A" w:rsidRPr="00BB3634" w:rsidRDefault="009C2A75" w:rsidP="00BB3634">
      <w:pPr>
        <w:pStyle w:val="Heading1"/>
        <w:spacing w:line="276" w:lineRule="auto"/>
        <w:rPr>
          <w:sz w:val="24"/>
          <w:szCs w:val="24"/>
        </w:rPr>
      </w:pPr>
      <w:bookmarkStart w:id="177" w:name="_Toc94360256"/>
      <w:r w:rsidRPr="00BB3634">
        <w:rPr>
          <w:sz w:val="24"/>
          <w:szCs w:val="24"/>
        </w:rPr>
        <w:t>SECTION 52(1) OF THE CONSTITUTION ACT</w:t>
      </w:r>
      <w:bookmarkEnd w:id="177"/>
    </w:p>
    <w:p w14:paraId="1127D8CF" w14:textId="77777777" w:rsidR="0033390A" w:rsidRPr="00BB3634" w:rsidRDefault="0033390A" w:rsidP="00BB3634">
      <w:pPr>
        <w:spacing w:line="276" w:lineRule="auto"/>
        <w:rPr>
          <w:rFonts w:ascii="Arial" w:hAnsi="Arial" w:cs="Arial"/>
        </w:rPr>
      </w:pPr>
    </w:p>
    <w:p w14:paraId="1B9F8703" w14:textId="39ECAFEF" w:rsidR="00F12903" w:rsidRPr="00BB3634" w:rsidRDefault="00F12903" w:rsidP="00BB3634">
      <w:pPr>
        <w:pStyle w:val="Heading2"/>
        <w:numPr>
          <w:ilvl w:val="0"/>
          <w:numId w:val="23"/>
        </w:numPr>
        <w:spacing w:line="276" w:lineRule="auto"/>
        <w:rPr>
          <w:rFonts w:cs="Arial"/>
        </w:rPr>
      </w:pPr>
      <w:bookmarkStart w:id="178" w:name="_Toc94360257"/>
      <w:r w:rsidRPr="00BB3634">
        <w:rPr>
          <w:rFonts w:cs="Arial"/>
        </w:rPr>
        <w:t xml:space="preserve">General </w:t>
      </w:r>
      <w:r w:rsidR="00B441B1" w:rsidRPr="00BB3634">
        <w:rPr>
          <w:rFonts w:cs="Arial"/>
        </w:rPr>
        <w:t>P</w:t>
      </w:r>
      <w:r w:rsidRPr="00BB3634">
        <w:rPr>
          <w:rFonts w:cs="Arial"/>
        </w:rPr>
        <w:t>rinciples</w:t>
      </w:r>
      <w:bookmarkEnd w:id="178"/>
    </w:p>
    <w:p w14:paraId="40B53E3D" w14:textId="6D4DFA04" w:rsidR="0033390A" w:rsidRPr="00BB3634" w:rsidRDefault="0033390A" w:rsidP="000B18E5">
      <w:pPr>
        <w:pStyle w:val="NoSpacing"/>
        <w:rPr>
          <w:rStyle w:val="Hyperlink"/>
        </w:rPr>
      </w:pPr>
      <w:r w:rsidRPr="00BB3634">
        <w:t xml:space="preserve">A declaration of invalidity made by a Superior Court of Justice is of general force and effect in the province in which it is made. Individual claimants do not have to re-litigate the issue to obtain a constitutional remedy: </w:t>
      </w:r>
      <w:r w:rsidRPr="00BB3634">
        <w:rPr>
          <w:i/>
        </w:rPr>
        <w:t xml:space="preserve">R v Sarmales, </w:t>
      </w:r>
      <w:hyperlink r:id="rId471" w:history="1">
        <w:r w:rsidRPr="00BB3634">
          <w:rPr>
            <w:rStyle w:val="Hyperlink"/>
          </w:rPr>
          <w:t>2017 ONSC 1869</w:t>
        </w:r>
      </w:hyperlink>
      <w:r w:rsidR="004F6550" w:rsidRPr="00BB3634">
        <w:t xml:space="preserve">; </w:t>
      </w:r>
      <w:r w:rsidR="004F6550" w:rsidRPr="00BB3634">
        <w:rPr>
          <w:i/>
        </w:rPr>
        <w:t xml:space="preserve">R v Ali, </w:t>
      </w:r>
      <w:hyperlink r:id="rId472" w:history="1">
        <w:r w:rsidR="004F6550" w:rsidRPr="00BB3634">
          <w:rPr>
            <w:rStyle w:val="Hyperlink"/>
          </w:rPr>
          <w:t>2017 ONSC 4531</w:t>
        </w:r>
      </w:hyperlink>
    </w:p>
    <w:p w14:paraId="35179DF6" w14:textId="77777777" w:rsidR="00F12903" w:rsidRPr="00BB3634" w:rsidRDefault="00F12903" w:rsidP="000B18E5">
      <w:pPr>
        <w:pStyle w:val="NoSpacing"/>
        <w:rPr>
          <w:rStyle w:val="Hyperlink"/>
        </w:rPr>
      </w:pPr>
    </w:p>
    <w:p w14:paraId="55FAB5EF" w14:textId="41C38F2C" w:rsidR="00F12903" w:rsidRPr="00BB3634" w:rsidRDefault="00F12903" w:rsidP="000B18E5">
      <w:pPr>
        <w:pStyle w:val="NoSpacing"/>
      </w:pPr>
      <w:r w:rsidRPr="00BB3634">
        <w:t xml:space="preserve">It is not open to a judge to declare statutory provisions invalid if those provisions do not apply to the accused’s circumstances: </w:t>
      </w:r>
      <w:r w:rsidRPr="00BB3634">
        <w:rPr>
          <w:i/>
        </w:rPr>
        <w:t xml:space="preserve">R v Vu, </w:t>
      </w:r>
      <w:hyperlink r:id="rId473" w:history="1">
        <w:r w:rsidRPr="00BB3634">
          <w:rPr>
            <w:rStyle w:val="Hyperlink"/>
          </w:rPr>
          <w:t>2018 ONCA 436</w:t>
        </w:r>
      </w:hyperlink>
      <w:r w:rsidRPr="00BB3634">
        <w:t xml:space="preserve"> at para 107</w:t>
      </w:r>
    </w:p>
    <w:p w14:paraId="48E59C62" w14:textId="28B94169" w:rsidR="00767571" w:rsidRPr="00BB3634" w:rsidRDefault="00767571" w:rsidP="000B18E5">
      <w:pPr>
        <w:pStyle w:val="NoSpacing"/>
      </w:pPr>
    </w:p>
    <w:p w14:paraId="660F1B28" w14:textId="77777777" w:rsidR="00EF5D24" w:rsidRPr="00BB3634" w:rsidRDefault="00EF5D24" w:rsidP="000B18E5">
      <w:pPr>
        <w:pStyle w:val="NoSpacing"/>
      </w:pPr>
    </w:p>
    <w:p w14:paraId="2BAD32E5" w14:textId="540231D6" w:rsidR="00767571" w:rsidRPr="00BB3634" w:rsidRDefault="00767571" w:rsidP="00BB3634">
      <w:pPr>
        <w:pStyle w:val="Heading2"/>
        <w:spacing w:line="276" w:lineRule="auto"/>
        <w:rPr>
          <w:rFonts w:cs="Arial"/>
        </w:rPr>
      </w:pPr>
      <w:bookmarkStart w:id="179" w:name="_Toc94360258"/>
      <w:r w:rsidRPr="00BB3634">
        <w:rPr>
          <w:rFonts w:cs="Arial"/>
        </w:rPr>
        <w:t>Jurisdiction</w:t>
      </w:r>
      <w:bookmarkEnd w:id="179"/>
    </w:p>
    <w:p w14:paraId="2AF41781" w14:textId="77777777" w:rsidR="00EF5D24" w:rsidRPr="00BB3634" w:rsidRDefault="00EF5D24" w:rsidP="000B18E5">
      <w:pPr>
        <w:pStyle w:val="NoSpacing"/>
      </w:pPr>
    </w:p>
    <w:p w14:paraId="2E86461F" w14:textId="6C91A858" w:rsidR="00767571" w:rsidRPr="00BB3634" w:rsidRDefault="00767571" w:rsidP="000B18E5">
      <w:pPr>
        <w:pStyle w:val="NoSpacing"/>
      </w:pPr>
      <w:r w:rsidRPr="00BB3634">
        <w:t xml:space="preserve">The Superior Court of Justice does not have jurisdiction to declare unconstitutional law that does not apply to the accused: </w:t>
      </w:r>
      <w:r w:rsidRPr="00BB3634">
        <w:rPr>
          <w:i/>
        </w:rPr>
        <w:t xml:space="preserve">R v Vu, </w:t>
      </w:r>
      <w:r w:rsidRPr="00BB3634">
        <w:t xml:space="preserve">2018 ONCA 436 </w:t>
      </w:r>
    </w:p>
    <w:p w14:paraId="3970E72C" w14:textId="77777777" w:rsidR="00F12903" w:rsidRPr="00BB3634" w:rsidRDefault="00F12903" w:rsidP="000B18E5">
      <w:pPr>
        <w:pStyle w:val="NoSpacing"/>
        <w:rPr>
          <w:rStyle w:val="Hyperlink"/>
        </w:rPr>
      </w:pPr>
    </w:p>
    <w:p w14:paraId="6613AB4D" w14:textId="2C958491" w:rsidR="00F12903" w:rsidRPr="00BB3634" w:rsidRDefault="00B441B1" w:rsidP="00BB3634">
      <w:pPr>
        <w:pStyle w:val="Heading2"/>
        <w:spacing w:line="276" w:lineRule="auto"/>
        <w:rPr>
          <w:rFonts w:cs="Arial"/>
        </w:rPr>
      </w:pPr>
      <w:bookmarkStart w:id="180" w:name="_Toc94360259"/>
      <w:r w:rsidRPr="00BB3634">
        <w:rPr>
          <w:rFonts w:cs="Arial"/>
        </w:rPr>
        <w:lastRenderedPageBreak/>
        <w:t>R</w:t>
      </w:r>
      <w:r w:rsidR="00F12903" w:rsidRPr="00BB3634">
        <w:rPr>
          <w:rFonts w:cs="Arial"/>
        </w:rPr>
        <w:t xml:space="preserve">emedy of </w:t>
      </w:r>
      <w:r w:rsidR="00C92133">
        <w:rPr>
          <w:rFonts w:cs="Arial"/>
        </w:rPr>
        <w:t xml:space="preserve">Striking Down, </w:t>
      </w:r>
      <w:r w:rsidRPr="00BB3634">
        <w:rPr>
          <w:rFonts w:cs="Arial"/>
        </w:rPr>
        <w:t>R</w:t>
      </w:r>
      <w:r w:rsidR="00F12903" w:rsidRPr="00BB3634">
        <w:rPr>
          <w:rFonts w:cs="Arial"/>
        </w:rPr>
        <w:t xml:space="preserve">eading </w:t>
      </w:r>
      <w:r w:rsidRPr="00BB3634">
        <w:rPr>
          <w:rFonts w:cs="Arial"/>
        </w:rPr>
        <w:t>D</w:t>
      </w:r>
      <w:r w:rsidR="00F12903" w:rsidRPr="00BB3634">
        <w:rPr>
          <w:rFonts w:cs="Arial"/>
        </w:rPr>
        <w:t>own</w:t>
      </w:r>
      <w:r w:rsidR="00C92133">
        <w:rPr>
          <w:rFonts w:cs="Arial"/>
        </w:rPr>
        <w:t xml:space="preserve"> or Reading in</w:t>
      </w:r>
      <w:bookmarkEnd w:id="180"/>
    </w:p>
    <w:p w14:paraId="625DCDEA" w14:textId="29ADD63A" w:rsidR="00F12903" w:rsidRDefault="00F12903" w:rsidP="00BB3634">
      <w:pPr>
        <w:spacing w:line="276" w:lineRule="auto"/>
        <w:rPr>
          <w:rFonts w:ascii="Arial" w:hAnsi="Arial" w:cs="Arial"/>
        </w:rPr>
      </w:pPr>
    </w:p>
    <w:p w14:paraId="6EFCF131" w14:textId="6536D01D" w:rsidR="00C92133" w:rsidRPr="00C92133" w:rsidRDefault="00C92133" w:rsidP="000B18E5">
      <w:pPr>
        <w:pStyle w:val="NoSpacing"/>
      </w:pPr>
      <w:r w:rsidRPr="00C92133">
        <w:t> To respect the differing roles of courts and legislatures foundational to our constitutional architecture, determining whether to strike down legislation in its entirety or to instead grant a tailored remedy of reading in, reading down, or severance, depends on whether the legislature’s intention was such that a court can fairly conclude it would have enacted the law as modified by the court. This requires the court to determine whether the law’s overall purpose can be achieved without violating rights. If a tailored remedy can be granted without the court intruding on the role of the legislature, such a remedy will preserve a law’s constitutionally compliant effects along with the benefit that law provides to the public</w:t>
      </w:r>
      <w:r>
        <w:t xml:space="preserve">: </w:t>
      </w:r>
      <w:r>
        <w:rPr>
          <w:i/>
        </w:rPr>
        <w:t>c</w:t>
      </w:r>
    </w:p>
    <w:p w14:paraId="2724AA7D" w14:textId="44AD468A" w:rsidR="00C92133" w:rsidRDefault="00C92133" w:rsidP="000B18E5">
      <w:pPr>
        <w:pStyle w:val="NoSpacing"/>
      </w:pPr>
    </w:p>
    <w:p w14:paraId="04C21083" w14:textId="77777777" w:rsidR="00C92133" w:rsidRPr="00BB3634" w:rsidRDefault="00C92133" w:rsidP="000B18E5">
      <w:pPr>
        <w:pStyle w:val="NoSpacing"/>
      </w:pPr>
      <w:r w:rsidRPr="00BB3634">
        <w:t>Reading down is “warranted only in the clearest of cases” where: (i) the legislative objective is obvious, (ii) reading down would not constitute an unacceptable intrusion in the legislative domain, and (iii) the remedy would not intrude upon budgetary considerations: </w:t>
      </w:r>
      <w:r w:rsidRPr="00BB3634">
        <w:rPr>
          <w:i/>
        </w:rPr>
        <w:t xml:space="preserve">R v Vu, </w:t>
      </w:r>
      <w:hyperlink r:id="rId474" w:history="1">
        <w:r w:rsidRPr="00BB3634">
          <w:rPr>
            <w:rStyle w:val="Hyperlink"/>
          </w:rPr>
          <w:t>2018 ONCA 436</w:t>
        </w:r>
      </w:hyperlink>
      <w:r w:rsidRPr="00BB3634">
        <w:t xml:space="preserve"> at para 90</w:t>
      </w:r>
    </w:p>
    <w:p w14:paraId="467800C3" w14:textId="77777777" w:rsidR="00C92133" w:rsidRDefault="00C92133" w:rsidP="000B18E5">
      <w:pPr>
        <w:pStyle w:val="NoSpacing"/>
      </w:pPr>
    </w:p>
    <w:p w14:paraId="4B1E18D3" w14:textId="77777777" w:rsidR="00C92133" w:rsidRPr="00C92133" w:rsidRDefault="00C92133" w:rsidP="000B18E5">
      <w:pPr>
        <w:pStyle w:val="NoSpacing"/>
      </w:pPr>
    </w:p>
    <w:p w14:paraId="704BCC59" w14:textId="51056458" w:rsidR="00C92133" w:rsidRPr="00C92133" w:rsidRDefault="00C92133" w:rsidP="000B18E5">
      <w:pPr>
        <w:pStyle w:val="NoSpacing"/>
      </w:pPr>
      <w:r>
        <w:t>T</w:t>
      </w:r>
      <w:r w:rsidRPr="00C92133">
        <w:t>he effect of a declaration should not be suspended unless the government demonstrates that an immediately effective declaration would endanger a compelling public interest that outweighs the importance of immediate constitutional compliance and an immediately effective remedy for those whose </w:t>
      </w:r>
      <w:r w:rsidRPr="00C92133">
        <w:rPr>
          <w:i/>
        </w:rPr>
        <w:t>Charter </w:t>
      </w:r>
      <w:r w:rsidRPr="00C92133">
        <w:t>rights will be violated. The court must consider the impact of such a suspension on rights holders and the public, as well as whether an immediate declaration of invalidity would significantly impair the legislature’s democratic authority to set policy through legislation. The period of suspension, where warranted, should be long enough to give the legislature the amount of time it has demonstrated it requires to carry out its responsibility diligently and effectively, while recognizing that every additional day of rights violations will be a strong counterweight against giving the legislature more tim</w:t>
      </w:r>
      <w:r>
        <w:t xml:space="preserve">e: </w:t>
      </w:r>
      <w:r>
        <w:rPr>
          <w:i/>
        </w:rPr>
        <w:t xml:space="preserve">Ontario (Attorney General) v G, </w:t>
      </w:r>
      <w:hyperlink r:id="rId475" w:history="1">
        <w:r w:rsidRPr="00C92133">
          <w:rPr>
            <w:rStyle w:val="Hyperlink"/>
          </w:rPr>
          <w:t>2020 SCC 38</w:t>
        </w:r>
      </w:hyperlink>
    </w:p>
    <w:p w14:paraId="0D003535" w14:textId="3E90DDC2" w:rsidR="00C92133" w:rsidRDefault="00C92133" w:rsidP="00BB3634">
      <w:pPr>
        <w:spacing w:line="276" w:lineRule="auto"/>
        <w:rPr>
          <w:rFonts w:ascii="Arial" w:hAnsi="Arial" w:cs="Arial"/>
        </w:rPr>
      </w:pPr>
    </w:p>
    <w:p w14:paraId="5698214F" w14:textId="2542B8A1" w:rsidR="00C57050" w:rsidRDefault="00C57050" w:rsidP="00BB3634">
      <w:pPr>
        <w:spacing w:line="276" w:lineRule="auto"/>
        <w:rPr>
          <w:rFonts w:ascii="Arial" w:hAnsi="Arial" w:cs="Arial"/>
        </w:rPr>
      </w:pPr>
    </w:p>
    <w:p w14:paraId="0BB1C5AB" w14:textId="3DF8E80B" w:rsidR="00C57050" w:rsidRDefault="00C57050" w:rsidP="00BB3634">
      <w:pPr>
        <w:spacing w:line="276" w:lineRule="auto"/>
        <w:rPr>
          <w:rFonts w:ascii="Arial" w:hAnsi="Arial" w:cs="Arial"/>
        </w:rPr>
      </w:pPr>
    </w:p>
    <w:p w14:paraId="10EACD4F" w14:textId="77777777" w:rsidR="00C57050" w:rsidRPr="00BB3634" w:rsidRDefault="00C57050" w:rsidP="00BB3634">
      <w:pPr>
        <w:spacing w:line="276" w:lineRule="auto"/>
        <w:rPr>
          <w:rFonts w:ascii="Arial" w:hAnsi="Arial" w:cs="Arial"/>
        </w:rPr>
      </w:pPr>
    </w:p>
    <w:p w14:paraId="43B16EF0" w14:textId="77777777" w:rsidR="00F12903" w:rsidRPr="00BB3634" w:rsidRDefault="00F12903" w:rsidP="00BB3634">
      <w:pPr>
        <w:spacing w:line="276" w:lineRule="auto"/>
        <w:rPr>
          <w:rFonts w:ascii="Arial" w:hAnsi="Arial" w:cs="Arial"/>
        </w:rPr>
      </w:pPr>
    </w:p>
    <w:p w14:paraId="48DA8DB4" w14:textId="1D21891D" w:rsidR="000539F5" w:rsidRPr="00BB3634" w:rsidRDefault="009C2A75" w:rsidP="00BB3634">
      <w:pPr>
        <w:pStyle w:val="Heading1"/>
        <w:spacing w:line="276" w:lineRule="auto"/>
        <w:rPr>
          <w:sz w:val="24"/>
          <w:szCs w:val="24"/>
        </w:rPr>
      </w:pPr>
      <w:bookmarkStart w:id="181" w:name="_Toc94360260"/>
      <w:r w:rsidRPr="00BB3634">
        <w:rPr>
          <w:sz w:val="24"/>
          <w:szCs w:val="24"/>
        </w:rPr>
        <w:lastRenderedPageBreak/>
        <w:t>STANDING TO ADVANCE CONSTITUTIONAL ISSUES</w:t>
      </w:r>
      <w:bookmarkEnd w:id="181"/>
    </w:p>
    <w:p w14:paraId="79D3902D" w14:textId="77777777" w:rsidR="000539F5" w:rsidRPr="00BB3634" w:rsidRDefault="000539F5" w:rsidP="00BB3634">
      <w:pPr>
        <w:spacing w:line="276" w:lineRule="auto"/>
        <w:rPr>
          <w:rFonts w:ascii="Arial" w:hAnsi="Arial" w:cs="Arial"/>
        </w:rPr>
      </w:pPr>
    </w:p>
    <w:p w14:paraId="7541700F" w14:textId="189D412D" w:rsidR="00BD150F" w:rsidRPr="00BB3634" w:rsidRDefault="000539F5" w:rsidP="000B18E5">
      <w:pPr>
        <w:pStyle w:val="NoSpacing"/>
      </w:pPr>
      <w:r w:rsidRPr="00BB3634">
        <w:t>For a review of the jurisprudence on public interest standing, see:  </w:t>
      </w:r>
      <w:r w:rsidRPr="00BB3634">
        <w:rPr>
          <w:rStyle w:val="Emphasis"/>
          <w:caps w:val="0"/>
          <w:sz w:val="24"/>
          <w:szCs w:val="24"/>
        </w:rPr>
        <w:t>British Columbia Civil Liberties Association v Canada (Attorney General),</w:t>
      </w:r>
      <w:r w:rsidRPr="00BB3634">
        <w:t> </w:t>
      </w:r>
      <w:hyperlink r:id="rId476" w:history="1">
        <w:r w:rsidRPr="00BB3634">
          <w:rPr>
            <w:rStyle w:val="Hyperlink"/>
            <w:color w:val="000000" w:themeColor="text1"/>
          </w:rPr>
          <w:t>2018 BCSC 62</w:t>
        </w:r>
      </w:hyperlink>
      <w:r w:rsidRPr="00BB3634">
        <w:t xml:space="preserve">; </w:t>
      </w:r>
      <w:r w:rsidRPr="00BB3634">
        <w:rPr>
          <w:rStyle w:val="Emphasis"/>
          <w:caps w:val="0"/>
          <w:sz w:val="24"/>
          <w:szCs w:val="24"/>
        </w:rPr>
        <w:t>Corporation of the Canadian Civil Liberties Association vs Canada (Attorney General)</w:t>
      </w:r>
      <w:r w:rsidRPr="00BB3634">
        <w:t>, </w:t>
      </w:r>
      <w:hyperlink r:id="rId477" w:history="1">
        <w:r w:rsidRPr="00BB3634">
          <w:rPr>
            <w:rStyle w:val="Hyperlink"/>
            <w:color w:val="000000" w:themeColor="text1"/>
          </w:rPr>
          <w:t>2017 ONSC 7491</w:t>
        </w:r>
      </w:hyperlink>
      <w:r w:rsidRPr="00BB3634">
        <w:t xml:space="preserve">; and </w:t>
      </w:r>
      <w:r w:rsidRPr="00BB3634">
        <w:rPr>
          <w:i/>
        </w:rPr>
        <w:t>R v Bedford</w:t>
      </w:r>
      <w:r w:rsidRPr="00BB3634">
        <w:t>, 2010 ONSC 4264</w:t>
      </w:r>
      <w:r w:rsidR="00BD150F" w:rsidRPr="00BB3634">
        <w:t xml:space="preserve">; </w:t>
      </w:r>
      <w:hyperlink r:id="rId478" w:tooltip="https://legalaid.us15.list-manage.com/track/click?u=1049c6684e6addce5c2c83de0&amp;id=26febb8e58&amp;e=e76cdf9c29" w:history="1">
        <w:r w:rsidR="00BD150F" w:rsidRPr="00BB3634">
          <w:rPr>
            <w:i/>
            <w:color w:val="0000FF"/>
            <w:u w:val="single"/>
          </w:rPr>
          <w:t>Alford v. Canada (Attorney General)</w:t>
        </w:r>
      </w:hyperlink>
      <w:r w:rsidR="00BD150F" w:rsidRPr="00BB3634">
        <w:t>, 2019 ONCA 657</w:t>
      </w:r>
    </w:p>
    <w:p w14:paraId="1754F2C8" w14:textId="77777777" w:rsidR="00BD150F" w:rsidRPr="00BB3634" w:rsidRDefault="00BD150F" w:rsidP="000B18E5">
      <w:pPr>
        <w:pStyle w:val="NoSpacing"/>
      </w:pPr>
    </w:p>
    <w:p w14:paraId="444EF54D" w14:textId="242554A1" w:rsidR="000539F5" w:rsidRPr="00BB3634" w:rsidRDefault="000539F5" w:rsidP="00BB3634">
      <w:pPr>
        <w:spacing w:line="276" w:lineRule="auto"/>
        <w:rPr>
          <w:rFonts w:ascii="Arial" w:hAnsi="Arial" w:cs="Arial"/>
        </w:rPr>
      </w:pPr>
    </w:p>
    <w:sectPr w:rsidR="000539F5" w:rsidRPr="00BB3634" w:rsidSect="00297114">
      <w:footerReference w:type="even" r:id="rId479"/>
      <w:footerReference w:type="default" r:id="rId4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F53F" w14:textId="77777777" w:rsidR="00E32F34" w:rsidRDefault="00E32F34" w:rsidP="000244F0">
      <w:r>
        <w:separator/>
      </w:r>
    </w:p>
  </w:endnote>
  <w:endnote w:type="continuationSeparator" w:id="0">
    <w:p w14:paraId="52609821" w14:textId="77777777" w:rsidR="00E32F34" w:rsidRDefault="00E32F34" w:rsidP="0002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D920" w14:textId="77777777" w:rsidR="0089661F" w:rsidRDefault="0089661F" w:rsidP="001C2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EBEF0" w14:textId="77777777" w:rsidR="0089661F" w:rsidRDefault="0089661F" w:rsidP="00024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AC6B" w14:textId="77777777" w:rsidR="0089661F" w:rsidRDefault="0089661F" w:rsidP="001C2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111214F" w14:textId="77777777" w:rsidR="0089661F" w:rsidRDefault="0089661F" w:rsidP="00024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FA77" w14:textId="77777777" w:rsidR="00E32F34" w:rsidRDefault="00E32F34" w:rsidP="000244F0">
      <w:r>
        <w:separator/>
      </w:r>
    </w:p>
  </w:footnote>
  <w:footnote w:type="continuationSeparator" w:id="0">
    <w:p w14:paraId="11C9DA52" w14:textId="77777777" w:rsidR="00E32F34" w:rsidRDefault="00E32F34" w:rsidP="0002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AB6"/>
    <w:multiLevelType w:val="hybridMultilevel"/>
    <w:tmpl w:val="ED4C3840"/>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27B1"/>
    <w:multiLevelType w:val="multilevel"/>
    <w:tmpl w:val="CCF2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80419"/>
    <w:multiLevelType w:val="hybridMultilevel"/>
    <w:tmpl w:val="BE8216A4"/>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56F15"/>
    <w:multiLevelType w:val="hybridMultilevel"/>
    <w:tmpl w:val="B1604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7DDD"/>
    <w:multiLevelType w:val="hybridMultilevel"/>
    <w:tmpl w:val="46D2755A"/>
    <w:lvl w:ilvl="0" w:tplc="88D85976">
      <w:start w:val="1"/>
      <w:numFmt w:val="low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3C09"/>
    <w:multiLevelType w:val="hybridMultilevel"/>
    <w:tmpl w:val="2564EAF6"/>
    <w:lvl w:ilvl="0" w:tplc="6BC86A6E">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5F04"/>
    <w:multiLevelType w:val="hybridMultilevel"/>
    <w:tmpl w:val="B602F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57560"/>
    <w:multiLevelType w:val="hybridMultilevel"/>
    <w:tmpl w:val="78A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14C02"/>
    <w:multiLevelType w:val="multilevel"/>
    <w:tmpl w:val="41FE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F37381"/>
    <w:multiLevelType w:val="hybridMultilevel"/>
    <w:tmpl w:val="8D1C0B00"/>
    <w:lvl w:ilvl="0" w:tplc="882801D0">
      <w:start w:val="1"/>
      <w:numFmt w:val="upperLetter"/>
      <w:pStyle w:val="Heading2"/>
      <w:lvlText w:val="%1."/>
      <w:lvlJc w:val="left"/>
      <w:pPr>
        <w:ind w:left="360" w:hanging="360"/>
      </w:pPr>
      <w:rPr>
        <w:rFonts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B1AE3"/>
    <w:multiLevelType w:val="hybridMultilevel"/>
    <w:tmpl w:val="FE5A7BB4"/>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2B687F78"/>
    <w:multiLevelType w:val="hybridMultilevel"/>
    <w:tmpl w:val="AA3A1AF0"/>
    <w:lvl w:ilvl="0" w:tplc="E6B40F02">
      <w:start w:val="1"/>
      <w:numFmt w:val="upperLetter"/>
      <w:lvlText w:val="%1."/>
      <w:lvlJc w:val="left"/>
      <w:pPr>
        <w:ind w:left="720" w:hanging="360"/>
      </w:pPr>
      <w:rPr>
        <w:rFonts w:ascii="Calibri" w:hAnsi="Calibri"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0861"/>
    <w:multiLevelType w:val="hybridMultilevel"/>
    <w:tmpl w:val="8C8ECBCA"/>
    <w:lvl w:ilvl="0" w:tplc="AEBA9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B12E8"/>
    <w:multiLevelType w:val="hybridMultilevel"/>
    <w:tmpl w:val="FE5A7BB4"/>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4" w15:restartNumberingAfterBreak="0">
    <w:nsid w:val="30C8350B"/>
    <w:multiLevelType w:val="multilevel"/>
    <w:tmpl w:val="55BA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377707"/>
    <w:multiLevelType w:val="hybridMultilevel"/>
    <w:tmpl w:val="3836B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E7012"/>
    <w:multiLevelType w:val="hybridMultilevel"/>
    <w:tmpl w:val="11AE9D84"/>
    <w:lvl w:ilvl="0" w:tplc="0409000F">
      <w:start w:val="1"/>
      <w:numFmt w:val="decimal"/>
      <w:lvlText w:val="%1."/>
      <w:lvlJc w:val="left"/>
      <w:pPr>
        <w:ind w:left="720" w:hanging="360"/>
      </w:pPr>
    </w:lvl>
    <w:lvl w:ilvl="1" w:tplc="4F1E93E6">
      <w:start w:val="2"/>
      <w:numFmt w:val="bullet"/>
      <w:lvlText w:val="·"/>
      <w:lvlJc w:val="left"/>
      <w:pPr>
        <w:ind w:left="1700" w:hanging="6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A7576"/>
    <w:multiLevelType w:val="hybridMultilevel"/>
    <w:tmpl w:val="40AC9A06"/>
    <w:lvl w:ilvl="0" w:tplc="5C30267E">
      <w:start w:val="1"/>
      <w:numFmt w:val="upperLetter"/>
      <w:lvlText w:val="%1."/>
      <w:lvlJc w:val="left"/>
      <w:pPr>
        <w:ind w:left="720" w:hanging="360"/>
      </w:pPr>
      <w:rPr>
        <w:rFonts w:ascii="Calibri" w:hAnsi="Calibri"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47824"/>
    <w:multiLevelType w:val="hybridMultilevel"/>
    <w:tmpl w:val="3AE48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56ACC"/>
    <w:multiLevelType w:val="hybridMultilevel"/>
    <w:tmpl w:val="E92E1322"/>
    <w:lvl w:ilvl="0" w:tplc="55CE4430">
      <w:start w:val="1"/>
      <w:numFmt w:val="upperLetter"/>
      <w:lvlText w:val="%1."/>
      <w:lvlJc w:val="left"/>
      <w:pPr>
        <w:ind w:left="720" w:hanging="360"/>
      </w:pPr>
      <w:rPr>
        <w:rFonts w:ascii="Calibri" w:hAnsi="Calibri"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672E3"/>
    <w:multiLevelType w:val="hybridMultilevel"/>
    <w:tmpl w:val="A5BA5B26"/>
    <w:lvl w:ilvl="0" w:tplc="346215AC">
      <w:start w:val="1"/>
      <w:numFmt w:val="lowerRoman"/>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16202"/>
    <w:multiLevelType w:val="hybridMultilevel"/>
    <w:tmpl w:val="7EACF66C"/>
    <w:lvl w:ilvl="0" w:tplc="620E2AC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0181C"/>
    <w:multiLevelType w:val="hybridMultilevel"/>
    <w:tmpl w:val="4DDA2932"/>
    <w:lvl w:ilvl="0" w:tplc="EEBEA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7629F5"/>
    <w:multiLevelType w:val="hybridMultilevel"/>
    <w:tmpl w:val="8CE22982"/>
    <w:lvl w:ilvl="0" w:tplc="1AF450E2">
      <w:start w:val="1"/>
      <w:numFmt w:val="lowerRoman"/>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D4DE6"/>
    <w:multiLevelType w:val="hybridMultilevel"/>
    <w:tmpl w:val="78B2E446"/>
    <w:lvl w:ilvl="0" w:tplc="D7D22718">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E7A69"/>
    <w:multiLevelType w:val="multilevel"/>
    <w:tmpl w:val="D0A007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7B0E214F"/>
    <w:multiLevelType w:val="hybridMultilevel"/>
    <w:tmpl w:val="072A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C0B32"/>
    <w:multiLevelType w:val="multilevel"/>
    <w:tmpl w:val="4136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BD1119"/>
    <w:multiLevelType w:val="hybridMultilevel"/>
    <w:tmpl w:val="C582A5A6"/>
    <w:lvl w:ilvl="0" w:tplc="4074FEAC">
      <w:start w:val="1"/>
      <w:numFmt w:val="lowerRoman"/>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9"/>
  </w:num>
  <w:num w:numId="4">
    <w:abstractNumId w:val="11"/>
  </w:num>
  <w:num w:numId="5">
    <w:abstractNumId w:val="15"/>
  </w:num>
  <w:num w:numId="6">
    <w:abstractNumId w:val="18"/>
  </w:num>
  <w:num w:numId="7">
    <w:abstractNumId w:val="27"/>
  </w:num>
  <w:num w:numId="8">
    <w:abstractNumId w:val="1"/>
  </w:num>
  <w:num w:numId="9">
    <w:abstractNumId w:val="17"/>
  </w:num>
  <w:num w:numId="10">
    <w:abstractNumId w:val="6"/>
  </w:num>
  <w:num w:numId="11">
    <w:abstractNumId w:val="14"/>
  </w:num>
  <w:num w:numId="12">
    <w:abstractNumId w:val="8"/>
  </w:num>
  <w:num w:numId="13">
    <w:abstractNumId w:val="9"/>
    <w:lvlOverride w:ilvl="0">
      <w:startOverride w:val="1"/>
    </w:lvlOverride>
  </w:num>
  <w:num w:numId="14">
    <w:abstractNumId w:val="12"/>
    <w:lvlOverride w:ilvl="0">
      <w:startOverride w:val="1"/>
    </w:lvlOverride>
  </w:num>
  <w:num w:numId="15">
    <w:abstractNumId w:val="24"/>
  </w:num>
  <w:num w:numId="16">
    <w:abstractNumId w:val="4"/>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4"/>
    <w:lvlOverride w:ilvl="0">
      <w:startOverride w:val="1"/>
    </w:lvlOverride>
  </w:num>
  <w:num w:numId="20">
    <w:abstractNumId w:val="20"/>
  </w:num>
  <w:num w:numId="21">
    <w:abstractNumId w:val="3"/>
  </w:num>
  <w:num w:numId="22">
    <w:abstractNumId w:val="26"/>
  </w:num>
  <w:num w:numId="23">
    <w:abstractNumId w:val="9"/>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5"/>
    <w:lvlOverride w:ilvl="0">
      <w:startOverride w:val="1"/>
    </w:lvlOverride>
  </w:num>
  <w:num w:numId="30">
    <w:abstractNumId w:val="22"/>
  </w:num>
  <w:num w:numId="31">
    <w:abstractNumId w:val="9"/>
    <w:lvlOverride w:ilvl="0">
      <w:startOverride w:val="2"/>
    </w:lvlOverride>
  </w:num>
  <w:num w:numId="32">
    <w:abstractNumId w:val="21"/>
  </w:num>
  <w:num w:numId="33">
    <w:abstractNumId w:val="9"/>
    <w:lvlOverride w:ilvl="0">
      <w:startOverride w:val="1"/>
    </w:lvlOverride>
  </w:num>
  <w:num w:numId="34">
    <w:abstractNumId w:val="4"/>
    <w:lvlOverride w:ilvl="0">
      <w:startOverride w:val="1"/>
    </w:lvlOverride>
  </w:num>
  <w:num w:numId="35">
    <w:abstractNumId w:val="5"/>
    <w:lvlOverride w:ilvl="0">
      <w:startOverride w:val="1"/>
    </w:lvlOverride>
  </w:num>
  <w:num w:numId="36">
    <w:abstractNumId w:val="4"/>
    <w:lvlOverride w:ilvl="0">
      <w:startOverride w:val="1"/>
    </w:lvlOverride>
  </w:num>
  <w:num w:numId="37">
    <w:abstractNumId w:val="9"/>
    <w:lvlOverride w:ilvl="0">
      <w:startOverride w:val="4"/>
    </w:lvlOverride>
  </w:num>
  <w:num w:numId="38">
    <w:abstractNumId w:val="7"/>
  </w:num>
  <w:num w:numId="39">
    <w:abstractNumId w:val="9"/>
  </w:num>
  <w:num w:numId="40">
    <w:abstractNumId w:val="13"/>
  </w:num>
  <w:num w:numId="41">
    <w:abstractNumId w:val="16"/>
  </w:num>
  <w:num w:numId="42">
    <w:abstractNumId w:val="9"/>
    <w:lvlOverride w:ilvl="0">
      <w:startOverride w:val="1"/>
    </w:lvlOverride>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28"/>
  </w:num>
  <w:num w:numId="49">
    <w:abstractNumId w:val="28"/>
    <w:lvlOverride w:ilvl="0">
      <w:startOverride w:val="1"/>
    </w:lvlOverride>
  </w:num>
  <w:num w:numId="50">
    <w:abstractNumId w:val="5"/>
    <w:lvlOverride w:ilvl="0">
      <w:startOverride w:val="1"/>
    </w:lvlOverride>
  </w:num>
  <w:num w:numId="51">
    <w:abstractNumId w:val="23"/>
  </w:num>
  <w:num w:numId="52">
    <w:abstractNumId w:val="28"/>
    <w:lvlOverride w:ilvl="0">
      <w:startOverride w:val="1"/>
    </w:lvlOverride>
  </w:num>
  <w:num w:numId="53">
    <w:abstractNumId w:val="0"/>
  </w:num>
  <w:num w:numId="54">
    <w:abstractNumId w:val="28"/>
    <w:lvlOverride w:ilvl="0">
      <w:startOverride w:val="1"/>
    </w:lvlOverride>
  </w:num>
  <w:num w:numId="55">
    <w:abstractNumId w:val="2"/>
  </w:num>
  <w:num w:numId="56">
    <w:abstractNumId w:val="10"/>
  </w:num>
  <w:num w:numId="57">
    <w:abstractNumId w:val="9"/>
    <w:lvlOverride w:ilvl="0">
      <w:startOverride w:val="1"/>
    </w:lvlOverride>
  </w:num>
  <w:num w:numId="58">
    <w:abstractNumId w:val="28"/>
    <w:lvlOverride w:ilvl="0">
      <w:startOverride w:val="1"/>
    </w:lvlOverride>
  </w:num>
  <w:num w:numId="59">
    <w:abstractNumId w:val="28"/>
    <w:lvlOverride w:ilvl="0">
      <w:startOverride w:val="1"/>
    </w:lvlOverride>
  </w:num>
  <w:num w:numId="60">
    <w:abstractNumId w:val="28"/>
    <w:lvlOverride w:ilvl="0">
      <w:startOverride w:val="1"/>
    </w:lvlOverride>
  </w:num>
  <w:num w:numId="61">
    <w:abstractNumId w:val="28"/>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4D7"/>
    <w:rsid w:val="00000175"/>
    <w:rsid w:val="00003CA0"/>
    <w:rsid w:val="00004753"/>
    <w:rsid w:val="0001571A"/>
    <w:rsid w:val="00023BD0"/>
    <w:rsid w:val="000244F0"/>
    <w:rsid w:val="00025E2D"/>
    <w:rsid w:val="00031244"/>
    <w:rsid w:val="0003301C"/>
    <w:rsid w:val="0004063A"/>
    <w:rsid w:val="00045EC6"/>
    <w:rsid w:val="00050292"/>
    <w:rsid w:val="000509A2"/>
    <w:rsid w:val="000539F5"/>
    <w:rsid w:val="000573BB"/>
    <w:rsid w:val="00065E01"/>
    <w:rsid w:val="00066ED2"/>
    <w:rsid w:val="0007068B"/>
    <w:rsid w:val="000749B8"/>
    <w:rsid w:val="00075951"/>
    <w:rsid w:val="0008170C"/>
    <w:rsid w:val="00081BE6"/>
    <w:rsid w:val="0009290E"/>
    <w:rsid w:val="00094927"/>
    <w:rsid w:val="000956E6"/>
    <w:rsid w:val="000970F9"/>
    <w:rsid w:val="00097523"/>
    <w:rsid w:val="000B18E5"/>
    <w:rsid w:val="000B51D3"/>
    <w:rsid w:val="000C3700"/>
    <w:rsid w:val="000C4E1B"/>
    <w:rsid w:val="000D11C1"/>
    <w:rsid w:val="000D4A98"/>
    <w:rsid w:val="000D640B"/>
    <w:rsid w:val="000E0324"/>
    <w:rsid w:val="000E1AE9"/>
    <w:rsid w:val="000E37FD"/>
    <w:rsid w:val="000E5258"/>
    <w:rsid w:val="000E7573"/>
    <w:rsid w:val="000F224F"/>
    <w:rsid w:val="000F4612"/>
    <w:rsid w:val="000F468A"/>
    <w:rsid w:val="000F5F29"/>
    <w:rsid w:val="001006B3"/>
    <w:rsid w:val="00101AA7"/>
    <w:rsid w:val="00106CFF"/>
    <w:rsid w:val="001101C5"/>
    <w:rsid w:val="00110492"/>
    <w:rsid w:val="001163FF"/>
    <w:rsid w:val="001176AC"/>
    <w:rsid w:val="00121419"/>
    <w:rsid w:val="00131B91"/>
    <w:rsid w:val="00131ECA"/>
    <w:rsid w:val="00133D1E"/>
    <w:rsid w:val="00140A25"/>
    <w:rsid w:val="00150852"/>
    <w:rsid w:val="00155813"/>
    <w:rsid w:val="0015793B"/>
    <w:rsid w:val="00161A59"/>
    <w:rsid w:val="001667BC"/>
    <w:rsid w:val="00170066"/>
    <w:rsid w:val="00175F66"/>
    <w:rsid w:val="001771AA"/>
    <w:rsid w:val="00186F74"/>
    <w:rsid w:val="001904B6"/>
    <w:rsid w:val="001920E8"/>
    <w:rsid w:val="001928FC"/>
    <w:rsid w:val="001954C4"/>
    <w:rsid w:val="00197362"/>
    <w:rsid w:val="001A0EAC"/>
    <w:rsid w:val="001B2CDE"/>
    <w:rsid w:val="001B3060"/>
    <w:rsid w:val="001B3774"/>
    <w:rsid w:val="001B7927"/>
    <w:rsid w:val="001C206E"/>
    <w:rsid w:val="001C37B2"/>
    <w:rsid w:val="001D14F8"/>
    <w:rsid w:val="001D315E"/>
    <w:rsid w:val="001D5C39"/>
    <w:rsid w:val="001E3FC7"/>
    <w:rsid w:val="001E537F"/>
    <w:rsid w:val="001E588A"/>
    <w:rsid w:val="001F156D"/>
    <w:rsid w:val="001F1734"/>
    <w:rsid w:val="001F2063"/>
    <w:rsid w:val="001F4617"/>
    <w:rsid w:val="001F74BF"/>
    <w:rsid w:val="00205B8B"/>
    <w:rsid w:val="002122FD"/>
    <w:rsid w:val="00213C36"/>
    <w:rsid w:val="00214568"/>
    <w:rsid w:val="0022691C"/>
    <w:rsid w:val="002345C9"/>
    <w:rsid w:val="002432A8"/>
    <w:rsid w:val="00253B35"/>
    <w:rsid w:val="002540AB"/>
    <w:rsid w:val="00255CC6"/>
    <w:rsid w:val="0026238A"/>
    <w:rsid w:val="002649A1"/>
    <w:rsid w:val="00265F26"/>
    <w:rsid w:val="00272510"/>
    <w:rsid w:val="002762D3"/>
    <w:rsid w:val="002803F4"/>
    <w:rsid w:val="00281222"/>
    <w:rsid w:val="00282D81"/>
    <w:rsid w:val="00284890"/>
    <w:rsid w:val="00291EC4"/>
    <w:rsid w:val="00293206"/>
    <w:rsid w:val="002932F7"/>
    <w:rsid w:val="0029416C"/>
    <w:rsid w:val="00297114"/>
    <w:rsid w:val="002A072B"/>
    <w:rsid w:val="002A1278"/>
    <w:rsid w:val="002A4576"/>
    <w:rsid w:val="002A4D0A"/>
    <w:rsid w:val="002A50FD"/>
    <w:rsid w:val="002A561B"/>
    <w:rsid w:val="002A5EAB"/>
    <w:rsid w:val="002A6AD5"/>
    <w:rsid w:val="002B2A91"/>
    <w:rsid w:val="002B5DE3"/>
    <w:rsid w:val="002B6921"/>
    <w:rsid w:val="002C1510"/>
    <w:rsid w:val="002C3977"/>
    <w:rsid w:val="002C3E82"/>
    <w:rsid w:val="002D4BD2"/>
    <w:rsid w:val="002D5764"/>
    <w:rsid w:val="002D6DD7"/>
    <w:rsid w:val="002E491C"/>
    <w:rsid w:val="002E5719"/>
    <w:rsid w:val="002F329E"/>
    <w:rsid w:val="002F5349"/>
    <w:rsid w:val="002F5FC5"/>
    <w:rsid w:val="002F7425"/>
    <w:rsid w:val="00301639"/>
    <w:rsid w:val="00310C37"/>
    <w:rsid w:val="00311813"/>
    <w:rsid w:val="00317674"/>
    <w:rsid w:val="003178B5"/>
    <w:rsid w:val="0031799F"/>
    <w:rsid w:val="00325841"/>
    <w:rsid w:val="0033390A"/>
    <w:rsid w:val="00337054"/>
    <w:rsid w:val="003440EC"/>
    <w:rsid w:val="00344906"/>
    <w:rsid w:val="00351B8D"/>
    <w:rsid w:val="00352171"/>
    <w:rsid w:val="0035647F"/>
    <w:rsid w:val="00357BBE"/>
    <w:rsid w:val="0036076B"/>
    <w:rsid w:val="003659EC"/>
    <w:rsid w:val="00371094"/>
    <w:rsid w:val="003753CA"/>
    <w:rsid w:val="0037712E"/>
    <w:rsid w:val="00380D47"/>
    <w:rsid w:val="00385F2F"/>
    <w:rsid w:val="0039353B"/>
    <w:rsid w:val="003A0766"/>
    <w:rsid w:val="003A667D"/>
    <w:rsid w:val="003B023F"/>
    <w:rsid w:val="003B1EF0"/>
    <w:rsid w:val="003B3248"/>
    <w:rsid w:val="003B5CF2"/>
    <w:rsid w:val="003B5D6F"/>
    <w:rsid w:val="003C3AEC"/>
    <w:rsid w:val="003C6AA6"/>
    <w:rsid w:val="003D0657"/>
    <w:rsid w:val="003E7142"/>
    <w:rsid w:val="003E7484"/>
    <w:rsid w:val="003F005E"/>
    <w:rsid w:val="003F1328"/>
    <w:rsid w:val="003F2A15"/>
    <w:rsid w:val="0040082A"/>
    <w:rsid w:val="00403697"/>
    <w:rsid w:val="00405458"/>
    <w:rsid w:val="00407CDE"/>
    <w:rsid w:val="004119E1"/>
    <w:rsid w:val="00411E8A"/>
    <w:rsid w:val="00413B56"/>
    <w:rsid w:val="00414986"/>
    <w:rsid w:val="00420660"/>
    <w:rsid w:val="0042114F"/>
    <w:rsid w:val="004341C0"/>
    <w:rsid w:val="00434EFE"/>
    <w:rsid w:val="00443216"/>
    <w:rsid w:val="00445A80"/>
    <w:rsid w:val="00456529"/>
    <w:rsid w:val="00457430"/>
    <w:rsid w:val="0046024C"/>
    <w:rsid w:val="00467727"/>
    <w:rsid w:val="00473351"/>
    <w:rsid w:val="00483C09"/>
    <w:rsid w:val="00492167"/>
    <w:rsid w:val="004A30B2"/>
    <w:rsid w:val="004A3362"/>
    <w:rsid w:val="004B1441"/>
    <w:rsid w:val="004B1540"/>
    <w:rsid w:val="004B2B77"/>
    <w:rsid w:val="004B3265"/>
    <w:rsid w:val="004B51EB"/>
    <w:rsid w:val="004B6AAF"/>
    <w:rsid w:val="004B7CCB"/>
    <w:rsid w:val="004C2F3B"/>
    <w:rsid w:val="004C4117"/>
    <w:rsid w:val="004C4961"/>
    <w:rsid w:val="004C5600"/>
    <w:rsid w:val="004C562C"/>
    <w:rsid w:val="004D18B7"/>
    <w:rsid w:val="004D2EC6"/>
    <w:rsid w:val="004D5910"/>
    <w:rsid w:val="004E71CD"/>
    <w:rsid w:val="004F3724"/>
    <w:rsid w:val="004F3EF3"/>
    <w:rsid w:val="004F6550"/>
    <w:rsid w:val="005016A4"/>
    <w:rsid w:val="005025FE"/>
    <w:rsid w:val="00514086"/>
    <w:rsid w:val="00522A46"/>
    <w:rsid w:val="0052348B"/>
    <w:rsid w:val="00525A3C"/>
    <w:rsid w:val="00536C30"/>
    <w:rsid w:val="005401EE"/>
    <w:rsid w:val="00540791"/>
    <w:rsid w:val="0054257A"/>
    <w:rsid w:val="00545A94"/>
    <w:rsid w:val="00545D27"/>
    <w:rsid w:val="0054682B"/>
    <w:rsid w:val="005473CB"/>
    <w:rsid w:val="00547A6E"/>
    <w:rsid w:val="0055162B"/>
    <w:rsid w:val="00551A4E"/>
    <w:rsid w:val="00560769"/>
    <w:rsid w:val="00563E23"/>
    <w:rsid w:val="0057581E"/>
    <w:rsid w:val="005771E1"/>
    <w:rsid w:val="005802CF"/>
    <w:rsid w:val="0058179B"/>
    <w:rsid w:val="005826DD"/>
    <w:rsid w:val="00583F0F"/>
    <w:rsid w:val="005908E4"/>
    <w:rsid w:val="00593A29"/>
    <w:rsid w:val="00594BE2"/>
    <w:rsid w:val="005956AC"/>
    <w:rsid w:val="005A14D4"/>
    <w:rsid w:val="005A42C2"/>
    <w:rsid w:val="005B1289"/>
    <w:rsid w:val="005C0227"/>
    <w:rsid w:val="005C0925"/>
    <w:rsid w:val="005C14F1"/>
    <w:rsid w:val="005C40F4"/>
    <w:rsid w:val="005C6CA9"/>
    <w:rsid w:val="005D236C"/>
    <w:rsid w:val="005E07F5"/>
    <w:rsid w:val="005E2199"/>
    <w:rsid w:val="005E71D9"/>
    <w:rsid w:val="005F0DA6"/>
    <w:rsid w:val="0060330A"/>
    <w:rsid w:val="00603ADB"/>
    <w:rsid w:val="0060400A"/>
    <w:rsid w:val="00616BC8"/>
    <w:rsid w:val="00621023"/>
    <w:rsid w:val="00622904"/>
    <w:rsid w:val="006325EB"/>
    <w:rsid w:val="00644200"/>
    <w:rsid w:val="00644D59"/>
    <w:rsid w:val="00653775"/>
    <w:rsid w:val="00655794"/>
    <w:rsid w:val="006574A0"/>
    <w:rsid w:val="006604CE"/>
    <w:rsid w:val="0066187B"/>
    <w:rsid w:val="00662185"/>
    <w:rsid w:val="00663FB5"/>
    <w:rsid w:val="00666E6D"/>
    <w:rsid w:val="0066777E"/>
    <w:rsid w:val="00671655"/>
    <w:rsid w:val="006733F9"/>
    <w:rsid w:val="00675D9A"/>
    <w:rsid w:val="00676E47"/>
    <w:rsid w:val="00680705"/>
    <w:rsid w:val="00681214"/>
    <w:rsid w:val="00681C79"/>
    <w:rsid w:val="0068305B"/>
    <w:rsid w:val="00683719"/>
    <w:rsid w:val="006864DF"/>
    <w:rsid w:val="006872A2"/>
    <w:rsid w:val="006908DB"/>
    <w:rsid w:val="00691022"/>
    <w:rsid w:val="00691ADB"/>
    <w:rsid w:val="00693639"/>
    <w:rsid w:val="006A02EC"/>
    <w:rsid w:val="006A11B5"/>
    <w:rsid w:val="006A559C"/>
    <w:rsid w:val="006A68EA"/>
    <w:rsid w:val="006C4F0F"/>
    <w:rsid w:val="006C5BA9"/>
    <w:rsid w:val="006D1265"/>
    <w:rsid w:val="006D7470"/>
    <w:rsid w:val="006E53E3"/>
    <w:rsid w:val="006F0753"/>
    <w:rsid w:val="006F3218"/>
    <w:rsid w:val="006F7525"/>
    <w:rsid w:val="0070067E"/>
    <w:rsid w:val="00702CC3"/>
    <w:rsid w:val="00702EE0"/>
    <w:rsid w:val="007035B6"/>
    <w:rsid w:val="0070404B"/>
    <w:rsid w:val="00712EF9"/>
    <w:rsid w:val="00714EA4"/>
    <w:rsid w:val="00716497"/>
    <w:rsid w:val="0072012B"/>
    <w:rsid w:val="00721C1C"/>
    <w:rsid w:val="007220FC"/>
    <w:rsid w:val="007231A3"/>
    <w:rsid w:val="00732DF5"/>
    <w:rsid w:val="00737A84"/>
    <w:rsid w:val="007423C7"/>
    <w:rsid w:val="00742EF9"/>
    <w:rsid w:val="007434F2"/>
    <w:rsid w:val="00751EE9"/>
    <w:rsid w:val="007566D5"/>
    <w:rsid w:val="0075676A"/>
    <w:rsid w:val="00760112"/>
    <w:rsid w:val="00761114"/>
    <w:rsid w:val="00761958"/>
    <w:rsid w:val="007628F3"/>
    <w:rsid w:val="007637D0"/>
    <w:rsid w:val="007667A3"/>
    <w:rsid w:val="00766836"/>
    <w:rsid w:val="00767571"/>
    <w:rsid w:val="00767BCF"/>
    <w:rsid w:val="0077141E"/>
    <w:rsid w:val="00771606"/>
    <w:rsid w:val="007718C3"/>
    <w:rsid w:val="007736E1"/>
    <w:rsid w:val="00777A5F"/>
    <w:rsid w:val="007801FF"/>
    <w:rsid w:val="00783C76"/>
    <w:rsid w:val="00783F96"/>
    <w:rsid w:val="00793EC8"/>
    <w:rsid w:val="0079535D"/>
    <w:rsid w:val="007A0A5A"/>
    <w:rsid w:val="007A3C76"/>
    <w:rsid w:val="007A6720"/>
    <w:rsid w:val="007A7EFD"/>
    <w:rsid w:val="007B0447"/>
    <w:rsid w:val="007B2C57"/>
    <w:rsid w:val="007C2800"/>
    <w:rsid w:val="007C59B4"/>
    <w:rsid w:val="007D3310"/>
    <w:rsid w:val="007E0788"/>
    <w:rsid w:val="007E18BF"/>
    <w:rsid w:val="007E5BAD"/>
    <w:rsid w:val="007E5F25"/>
    <w:rsid w:val="007E6AD7"/>
    <w:rsid w:val="007E6BB4"/>
    <w:rsid w:val="007E7365"/>
    <w:rsid w:val="007E7E79"/>
    <w:rsid w:val="007F149B"/>
    <w:rsid w:val="007F65DD"/>
    <w:rsid w:val="00802453"/>
    <w:rsid w:val="00805532"/>
    <w:rsid w:val="00806049"/>
    <w:rsid w:val="0080724E"/>
    <w:rsid w:val="008142DE"/>
    <w:rsid w:val="00821E35"/>
    <w:rsid w:val="00832A77"/>
    <w:rsid w:val="008339F7"/>
    <w:rsid w:val="008342C5"/>
    <w:rsid w:val="00835585"/>
    <w:rsid w:val="00850C05"/>
    <w:rsid w:val="00851DC7"/>
    <w:rsid w:val="0085511D"/>
    <w:rsid w:val="00862656"/>
    <w:rsid w:val="008649B7"/>
    <w:rsid w:val="0087014C"/>
    <w:rsid w:val="008741EE"/>
    <w:rsid w:val="008747F6"/>
    <w:rsid w:val="00880F05"/>
    <w:rsid w:val="00881204"/>
    <w:rsid w:val="008870BD"/>
    <w:rsid w:val="00890879"/>
    <w:rsid w:val="00894D38"/>
    <w:rsid w:val="0089661F"/>
    <w:rsid w:val="00896C90"/>
    <w:rsid w:val="00897E80"/>
    <w:rsid w:val="008A0593"/>
    <w:rsid w:val="008A21F7"/>
    <w:rsid w:val="008A3F19"/>
    <w:rsid w:val="008A7CEB"/>
    <w:rsid w:val="008B0ABB"/>
    <w:rsid w:val="008B65EA"/>
    <w:rsid w:val="008C3FE6"/>
    <w:rsid w:val="008D4EC0"/>
    <w:rsid w:val="008D6DAD"/>
    <w:rsid w:val="008E1828"/>
    <w:rsid w:val="008E2125"/>
    <w:rsid w:val="008F07F0"/>
    <w:rsid w:val="008F084C"/>
    <w:rsid w:val="008F0AC5"/>
    <w:rsid w:val="008F1F58"/>
    <w:rsid w:val="008F2CB0"/>
    <w:rsid w:val="008F5BF5"/>
    <w:rsid w:val="00900BA7"/>
    <w:rsid w:val="00906643"/>
    <w:rsid w:val="0091078B"/>
    <w:rsid w:val="00937C95"/>
    <w:rsid w:val="009456F4"/>
    <w:rsid w:val="00945C0D"/>
    <w:rsid w:val="00955082"/>
    <w:rsid w:val="00960DC2"/>
    <w:rsid w:val="00960FE8"/>
    <w:rsid w:val="0096189C"/>
    <w:rsid w:val="00962DCC"/>
    <w:rsid w:val="00963183"/>
    <w:rsid w:val="0096506F"/>
    <w:rsid w:val="00972016"/>
    <w:rsid w:val="00973013"/>
    <w:rsid w:val="00980C5E"/>
    <w:rsid w:val="00980CF9"/>
    <w:rsid w:val="00982807"/>
    <w:rsid w:val="00986835"/>
    <w:rsid w:val="009A6901"/>
    <w:rsid w:val="009B25A7"/>
    <w:rsid w:val="009B60E8"/>
    <w:rsid w:val="009C0F45"/>
    <w:rsid w:val="009C2A75"/>
    <w:rsid w:val="009C4DD3"/>
    <w:rsid w:val="009C75A4"/>
    <w:rsid w:val="009C7889"/>
    <w:rsid w:val="009D42E3"/>
    <w:rsid w:val="009D578F"/>
    <w:rsid w:val="009E4EB4"/>
    <w:rsid w:val="009E6FF5"/>
    <w:rsid w:val="009F12BD"/>
    <w:rsid w:val="009F1A6E"/>
    <w:rsid w:val="009F5758"/>
    <w:rsid w:val="009F651B"/>
    <w:rsid w:val="009F7327"/>
    <w:rsid w:val="00A00447"/>
    <w:rsid w:val="00A01AFD"/>
    <w:rsid w:val="00A07397"/>
    <w:rsid w:val="00A14618"/>
    <w:rsid w:val="00A14F28"/>
    <w:rsid w:val="00A155F3"/>
    <w:rsid w:val="00A17BF3"/>
    <w:rsid w:val="00A2084E"/>
    <w:rsid w:val="00A216C7"/>
    <w:rsid w:val="00A21D80"/>
    <w:rsid w:val="00A25D0F"/>
    <w:rsid w:val="00A275B5"/>
    <w:rsid w:val="00A3123B"/>
    <w:rsid w:val="00A35344"/>
    <w:rsid w:val="00A3689D"/>
    <w:rsid w:val="00A37BD7"/>
    <w:rsid w:val="00A4454E"/>
    <w:rsid w:val="00A46AA4"/>
    <w:rsid w:val="00A50B73"/>
    <w:rsid w:val="00A55D62"/>
    <w:rsid w:val="00A631D8"/>
    <w:rsid w:val="00A63F91"/>
    <w:rsid w:val="00A64D38"/>
    <w:rsid w:val="00A65BDB"/>
    <w:rsid w:val="00A66912"/>
    <w:rsid w:val="00A71411"/>
    <w:rsid w:val="00A71E68"/>
    <w:rsid w:val="00A767D2"/>
    <w:rsid w:val="00A772C1"/>
    <w:rsid w:val="00A82635"/>
    <w:rsid w:val="00A86B56"/>
    <w:rsid w:val="00A91893"/>
    <w:rsid w:val="00AA12DC"/>
    <w:rsid w:val="00AA659C"/>
    <w:rsid w:val="00AA7AA9"/>
    <w:rsid w:val="00AC075D"/>
    <w:rsid w:val="00AC21E9"/>
    <w:rsid w:val="00AC448A"/>
    <w:rsid w:val="00AC57DB"/>
    <w:rsid w:val="00AD23FF"/>
    <w:rsid w:val="00AE0D95"/>
    <w:rsid w:val="00AE2914"/>
    <w:rsid w:val="00AE4D7A"/>
    <w:rsid w:val="00AF77AC"/>
    <w:rsid w:val="00AF7CB2"/>
    <w:rsid w:val="00B00ABE"/>
    <w:rsid w:val="00B022DD"/>
    <w:rsid w:val="00B05D1A"/>
    <w:rsid w:val="00B1114B"/>
    <w:rsid w:val="00B16179"/>
    <w:rsid w:val="00B172E3"/>
    <w:rsid w:val="00B20031"/>
    <w:rsid w:val="00B20070"/>
    <w:rsid w:val="00B20F62"/>
    <w:rsid w:val="00B226A2"/>
    <w:rsid w:val="00B3098C"/>
    <w:rsid w:val="00B356B5"/>
    <w:rsid w:val="00B37131"/>
    <w:rsid w:val="00B371DA"/>
    <w:rsid w:val="00B441B1"/>
    <w:rsid w:val="00B50245"/>
    <w:rsid w:val="00B554AD"/>
    <w:rsid w:val="00B61865"/>
    <w:rsid w:val="00B62B78"/>
    <w:rsid w:val="00B653AF"/>
    <w:rsid w:val="00B66E7B"/>
    <w:rsid w:val="00B67514"/>
    <w:rsid w:val="00B75401"/>
    <w:rsid w:val="00B8051B"/>
    <w:rsid w:val="00B80EC1"/>
    <w:rsid w:val="00B81829"/>
    <w:rsid w:val="00B81E11"/>
    <w:rsid w:val="00B83702"/>
    <w:rsid w:val="00B85341"/>
    <w:rsid w:val="00B8688E"/>
    <w:rsid w:val="00B93BE3"/>
    <w:rsid w:val="00B95A5C"/>
    <w:rsid w:val="00B97B81"/>
    <w:rsid w:val="00BA05D8"/>
    <w:rsid w:val="00BA08C7"/>
    <w:rsid w:val="00BA37F6"/>
    <w:rsid w:val="00BB3634"/>
    <w:rsid w:val="00BB46E0"/>
    <w:rsid w:val="00BB6D33"/>
    <w:rsid w:val="00BB7AB4"/>
    <w:rsid w:val="00BC126C"/>
    <w:rsid w:val="00BC22DB"/>
    <w:rsid w:val="00BC5F93"/>
    <w:rsid w:val="00BD150F"/>
    <w:rsid w:val="00BD2AF7"/>
    <w:rsid w:val="00BE2FE4"/>
    <w:rsid w:val="00BE3057"/>
    <w:rsid w:val="00BF14D7"/>
    <w:rsid w:val="00BF508E"/>
    <w:rsid w:val="00BF53F4"/>
    <w:rsid w:val="00C0073E"/>
    <w:rsid w:val="00C1444F"/>
    <w:rsid w:val="00C16843"/>
    <w:rsid w:val="00C21B3B"/>
    <w:rsid w:val="00C236E1"/>
    <w:rsid w:val="00C27569"/>
    <w:rsid w:val="00C30C7E"/>
    <w:rsid w:val="00C3184E"/>
    <w:rsid w:val="00C342D8"/>
    <w:rsid w:val="00C3580E"/>
    <w:rsid w:val="00C47E9F"/>
    <w:rsid w:val="00C5395A"/>
    <w:rsid w:val="00C5562F"/>
    <w:rsid w:val="00C57050"/>
    <w:rsid w:val="00C616F4"/>
    <w:rsid w:val="00C7276B"/>
    <w:rsid w:val="00C72C57"/>
    <w:rsid w:val="00C73288"/>
    <w:rsid w:val="00C80139"/>
    <w:rsid w:val="00C81D45"/>
    <w:rsid w:val="00C917F8"/>
    <w:rsid w:val="00C92133"/>
    <w:rsid w:val="00C95CD7"/>
    <w:rsid w:val="00C968B9"/>
    <w:rsid w:val="00C974DF"/>
    <w:rsid w:val="00C97771"/>
    <w:rsid w:val="00CA1373"/>
    <w:rsid w:val="00CA2461"/>
    <w:rsid w:val="00CA54D6"/>
    <w:rsid w:val="00CA6B9A"/>
    <w:rsid w:val="00CA74DE"/>
    <w:rsid w:val="00CB0330"/>
    <w:rsid w:val="00CB3E71"/>
    <w:rsid w:val="00CB679A"/>
    <w:rsid w:val="00CC01F2"/>
    <w:rsid w:val="00CC63BA"/>
    <w:rsid w:val="00CD54F0"/>
    <w:rsid w:val="00CD5A23"/>
    <w:rsid w:val="00CD5FEA"/>
    <w:rsid w:val="00CD7DA0"/>
    <w:rsid w:val="00CE1343"/>
    <w:rsid w:val="00CE16CD"/>
    <w:rsid w:val="00CE7F9E"/>
    <w:rsid w:val="00CF57B7"/>
    <w:rsid w:val="00D02709"/>
    <w:rsid w:val="00D0363C"/>
    <w:rsid w:val="00D04BA8"/>
    <w:rsid w:val="00D065A8"/>
    <w:rsid w:val="00D1030B"/>
    <w:rsid w:val="00D10A2C"/>
    <w:rsid w:val="00D112E8"/>
    <w:rsid w:val="00D13493"/>
    <w:rsid w:val="00D15CDC"/>
    <w:rsid w:val="00D17C80"/>
    <w:rsid w:val="00D2053C"/>
    <w:rsid w:val="00D21E93"/>
    <w:rsid w:val="00D235E6"/>
    <w:rsid w:val="00D23AF9"/>
    <w:rsid w:val="00D25784"/>
    <w:rsid w:val="00D263A0"/>
    <w:rsid w:val="00D35744"/>
    <w:rsid w:val="00D3789C"/>
    <w:rsid w:val="00D4537C"/>
    <w:rsid w:val="00D504F2"/>
    <w:rsid w:val="00D53879"/>
    <w:rsid w:val="00D5622F"/>
    <w:rsid w:val="00D62D93"/>
    <w:rsid w:val="00D6427E"/>
    <w:rsid w:val="00D649BC"/>
    <w:rsid w:val="00D6588A"/>
    <w:rsid w:val="00D743FB"/>
    <w:rsid w:val="00D75603"/>
    <w:rsid w:val="00D75887"/>
    <w:rsid w:val="00D75E69"/>
    <w:rsid w:val="00D82C12"/>
    <w:rsid w:val="00D82FB9"/>
    <w:rsid w:val="00D9405F"/>
    <w:rsid w:val="00D97681"/>
    <w:rsid w:val="00DA1010"/>
    <w:rsid w:val="00DA7F0A"/>
    <w:rsid w:val="00DB08A3"/>
    <w:rsid w:val="00DB1891"/>
    <w:rsid w:val="00DC2325"/>
    <w:rsid w:val="00DC44A2"/>
    <w:rsid w:val="00DC5155"/>
    <w:rsid w:val="00DE03BA"/>
    <w:rsid w:val="00DE3260"/>
    <w:rsid w:val="00DE427E"/>
    <w:rsid w:val="00DE604C"/>
    <w:rsid w:val="00DF233F"/>
    <w:rsid w:val="00E010B8"/>
    <w:rsid w:val="00E02420"/>
    <w:rsid w:val="00E116FB"/>
    <w:rsid w:val="00E1232E"/>
    <w:rsid w:val="00E15209"/>
    <w:rsid w:val="00E15AF5"/>
    <w:rsid w:val="00E26FEC"/>
    <w:rsid w:val="00E32F34"/>
    <w:rsid w:val="00E34348"/>
    <w:rsid w:val="00E34ED0"/>
    <w:rsid w:val="00E37550"/>
    <w:rsid w:val="00E47E10"/>
    <w:rsid w:val="00E5067C"/>
    <w:rsid w:val="00E553A2"/>
    <w:rsid w:val="00E55FD7"/>
    <w:rsid w:val="00E57072"/>
    <w:rsid w:val="00E62C96"/>
    <w:rsid w:val="00E636BF"/>
    <w:rsid w:val="00E81126"/>
    <w:rsid w:val="00E84916"/>
    <w:rsid w:val="00E854B0"/>
    <w:rsid w:val="00E863D8"/>
    <w:rsid w:val="00E87B37"/>
    <w:rsid w:val="00E87CE6"/>
    <w:rsid w:val="00E97AF9"/>
    <w:rsid w:val="00EA0341"/>
    <w:rsid w:val="00EA1D04"/>
    <w:rsid w:val="00EA57A8"/>
    <w:rsid w:val="00EA650B"/>
    <w:rsid w:val="00EA6D46"/>
    <w:rsid w:val="00EB4E44"/>
    <w:rsid w:val="00EB5EE3"/>
    <w:rsid w:val="00EB68B1"/>
    <w:rsid w:val="00EC0F3F"/>
    <w:rsid w:val="00EC28DF"/>
    <w:rsid w:val="00EC6F02"/>
    <w:rsid w:val="00EC791E"/>
    <w:rsid w:val="00ED0540"/>
    <w:rsid w:val="00ED3BDD"/>
    <w:rsid w:val="00ED5636"/>
    <w:rsid w:val="00EE6BBB"/>
    <w:rsid w:val="00EE6E3D"/>
    <w:rsid w:val="00EE70D7"/>
    <w:rsid w:val="00EE7310"/>
    <w:rsid w:val="00EE7886"/>
    <w:rsid w:val="00EF2FE0"/>
    <w:rsid w:val="00EF4A32"/>
    <w:rsid w:val="00EF5D24"/>
    <w:rsid w:val="00EF6DE1"/>
    <w:rsid w:val="00F04B34"/>
    <w:rsid w:val="00F11BDC"/>
    <w:rsid w:val="00F12903"/>
    <w:rsid w:val="00F174B8"/>
    <w:rsid w:val="00F26D01"/>
    <w:rsid w:val="00F30FDF"/>
    <w:rsid w:val="00F443BD"/>
    <w:rsid w:val="00F45DE2"/>
    <w:rsid w:val="00F53524"/>
    <w:rsid w:val="00F541D9"/>
    <w:rsid w:val="00F553A9"/>
    <w:rsid w:val="00F65722"/>
    <w:rsid w:val="00F65ABB"/>
    <w:rsid w:val="00F65ABE"/>
    <w:rsid w:val="00F66DD1"/>
    <w:rsid w:val="00F74812"/>
    <w:rsid w:val="00F80BB3"/>
    <w:rsid w:val="00F81469"/>
    <w:rsid w:val="00F870E4"/>
    <w:rsid w:val="00F87AC8"/>
    <w:rsid w:val="00F9425E"/>
    <w:rsid w:val="00F94FF8"/>
    <w:rsid w:val="00FA04EC"/>
    <w:rsid w:val="00FA42F3"/>
    <w:rsid w:val="00FB0107"/>
    <w:rsid w:val="00FB61DF"/>
    <w:rsid w:val="00FB6D4E"/>
    <w:rsid w:val="00FB6F0C"/>
    <w:rsid w:val="00FB7172"/>
    <w:rsid w:val="00FC6D49"/>
    <w:rsid w:val="00FD0B27"/>
    <w:rsid w:val="00FD1078"/>
    <w:rsid w:val="00FD2EDB"/>
    <w:rsid w:val="00FD3DEF"/>
    <w:rsid w:val="00FD5B81"/>
    <w:rsid w:val="00FE199D"/>
    <w:rsid w:val="00FE2845"/>
    <w:rsid w:val="00FE4882"/>
    <w:rsid w:val="00FF0DD6"/>
    <w:rsid w:val="00FF4E15"/>
    <w:rsid w:val="00FF53C5"/>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F55E0C"/>
  <w14:defaultImageDpi w14:val="300"/>
  <w15:docId w15:val="{55FCBC26-89F1-F244-BB09-0FEFF80F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6F"/>
    <w:pPr>
      <w:spacing w:after="0" w:line="240" w:lineRule="auto"/>
    </w:pPr>
    <w:rPr>
      <w:rFonts w:ascii="Times New Roman" w:eastAsia="Times New Roman" w:hAnsi="Times New Roman" w:cs="Times New Roman"/>
      <w:sz w:val="24"/>
      <w:szCs w:val="24"/>
      <w:lang w:val="en-CA"/>
    </w:rPr>
  </w:style>
  <w:style w:type="paragraph" w:styleId="Heading1">
    <w:name w:val="heading 1"/>
    <w:aliases w:val="MS Heading 1"/>
    <w:basedOn w:val="Normal"/>
    <w:next w:val="Normal"/>
    <w:link w:val="Heading1Char"/>
    <w:autoRedefine/>
    <w:uiPriority w:val="9"/>
    <w:qFormat/>
    <w:rsid w:val="00B441B1"/>
    <w:pPr>
      <w:pBdr>
        <w:top w:val="thinThickSmallGap" w:sz="12" w:space="8" w:color="943634" w:themeColor="accent2" w:themeShade="BF"/>
        <w:bottom w:val="thinThickSmallGap" w:sz="12" w:space="8" w:color="943634" w:themeColor="accent2" w:themeShade="BF"/>
      </w:pBdr>
      <w:shd w:val="clear" w:color="auto" w:fill="E0E0E0"/>
      <w:spacing w:before="400" w:after="200" w:line="252" w:lineRule="auto"/>
      <w:jc w:val="center"/>
      <w:outlineLvl w:val="0"/>
    </w:pPr>
    <w:rPr>
      <w:rFonts w:ascii="Arial" w:eastAsiaTheme="minorEastAsia" w:hAnsi="Arial" w:cs="Arial"/>
      <w:b/>
      <w:bCs/>
      <w:noProof/>
      <w:color w:val="632423" w:themeColor="accent2" w:themeShade="80"/>
      <w:sz w:val="26"/>
      <w:szCs w:val="26"/>
      <w:lang w:val="en-US"/>
    </w:rPr>
  </w:style>
  <w:style w:type="paragraph" w:styleId="Heading2">
    <w:name w:val="heading 2"/>
    <w:aliases w:val="MS Heading 2"/>
    <w:basedOn w:val="Normal"/>
    <w:next w:val="Normal"/>
    <w:link w:val="Heading2Char"/>
    <w:uiPriority w:val="9"/>
    <w:unhideWhenUsed/>
    <w:qFormat/>
    <w:rsid w:val="00671655"/>
    <w:pPr>
      <w:numPr>
        <w:numId w:val="39"/>
      </w:numPr>
      <w:pBdr>
        <w:top w:val="single" w:sz="4" w:space="4" w:color="622423" w:themeColor="accent2" w:themeShade="7F"/>
        <w:bottom w:val="single" w:sz="4" w:space="4" w:color="622423" w:themeColor="accent2" w:themeShade="7F"/>
      </w:pBdr>
      <w:spacing w:before="400" w:after="200" w:line="252" w:lineRule="auto"/>
      <w:outlineLvl w:val="1"/>
    </w:pPr>
    <w:rPr>
      <w:rFonts w:ascii="Arial" w:eastAsiaTheme="majorEastAsia" w:hAnsi="Arial" w:cstheme="majorBidi"/>
      <w:b/>
      <w:caps/>
      <w:color w:val="632423" w:themeColor="accent2" w:themeShade="80"/>
      <w:spacing w:val="15"/>
      <w:bdr w:val="none" w:sz="0" w:space="0" w:color="auto" w:frame="1"/>
      <w:lang w:val="en-US"/>
    </w:rPr>
  </w:style>
  <w:style w:type="paragraph" w:styleId="Heading3">
    <w:name w:val="heading 3"/>
    <w:aliases w:val="MS Heading 3"/>
    <w:basedOn w:val="Normal"/>
    <w:next w:val="Normal"/>
    <w:link w:val="Heading3Char"/>
    <w:autoRedefine/>
    <w:uiPriority w:val="9"/>
    <w:unhideWhenUsed/>
    <w:qFormat/>
    <w:rsid w:val="007A6720"/>
    <w:pPr>
      <w:numPr>
        <w:numId w:val="48"/>
      </w:numPr>
      <w:pBdr>
        <w:top w:val="dotted" w:sz="4" w:space="1" w:color="622423" w:themeColor="accent2" w:themeShade="7F"/>
        <w:bottom w:val="dotted" w:sz="4" w:space="1" w:color="622423" w:themeColor="accent2" w:themeShade="7F"/>
      </w:pBdr>
      <w:spacing w:before="300" w:after="200" w:line="252" w:lineRule="auto"/>
      <w:outlineLvl w:val="2"/>
    </w:pPr>
    <w:rPr>
      <w:rFonts w:ascii="Arial" w:eastAsiaTheme="majorEastAsia" w:hAnsi="Arial" w:cs="Arial"/>
      <w:b/>
      <w:smallCaps/>
      <w:color w:val="622423" w:themeColor="accent2" w:themeShade="7F"/>
      <w:sz w:val="26"/>
      <w:szCs w:val="26"/>
      <w:bdr w:val="none" w:sz="0" w:space="0" w:color="auto" w:frame="1"/>
      <w:lang w:val="en-US"/>
    </w:rPr>
  </w:style>
  <w:style w:type="paragraph" w:styleId="Heading4">
    <w:name w:val="heading 4"/>
    <w:aliases w:val="MS Heading 4"/>
    <w:basedOn w:val="Normal"/>
    <w:next w:val="Normal"/>
    <w:link w:val="Heading4Char"/>
    <w:autoRedefine/>
    <w:uiPriority w:val="9"/>
    <w:unhideWhenUsed/>
    <w:qFormat/>
    <w:rsid w:val="00732DF5"/>
    <w:pPr>
      <w:numPr>
        <w:numId w:val="2"/>
      </w:numPr>
      <w:pBdr>
        <w:bottom w:val="dotted" w:sz="4" w:space="1" w:color="943634" w:themeColor="accent2" w:themeShade="BF"/>
      </w:pBdr>
      <w:spacing w:after="120" w:line="252" w:lineRule="auto"/>
      <w:outlineLvl w:val="3"/>
    </w:pPr>
    <w:rPr>
      <w:rFonts w:ascii="Arial" w:eastAsiaTheme="majorEastAsia" w:hAnsi="Arial" w:cstheme="majorBidi"/>
      <w:b/>
      <w:bCs/>
      <w:color w:val="632423" w:themeColor="accent2" w:themeShade="80"/>
      <w:spacing w:val="10"/>
      <w:sz w:val="22"/>
      <w:szCs w:val="22"/>
      <w:bdr w:val="none" w:sz="0" w:space="0" w:color="auto" w:frame="1"/>
      <w:lang w:val="en-US"/>
    </w:rPr>
  </w:style>
  <w:style w:type="paragraph" w:styleId="Heading5">
    <w:name w:val="heading 5"/>
    <w:basedOn w:val="Normal"/>
    <w:next w:val="Normal"/>
    <w:link w:val="Heading5Char"/>
    <w:uiPriority w:val="9"/>
    <w:semiHidden/>
    <w:unhideWhenUsed/>
    <w:qFormat/>
    <w:rsid w:val="007628F3"/>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val="en-US"/>
    </w:rPr>
  </w:style>
  <w:style w:type="paragraph" w:styleId="Heading6">
    <w:name w:val="heading 6"/>
    <w:basedOn w:val="Normal"/>
    <w:next w:val="Normal"/>
    <w:link w:val="Heading6Char"/>
    <w:uiPriority w:val="9"/>
    <w:semiHidden/>
    <w:unhideWhenUsed/>
    <w:qFormat/>
    <w:rsid w:val="007628F3"/>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val="en-US"/>
    </w:rPr>
  </w:style>
  <w:style w:type="paragraph" w:styleId="Heading7">
    <w:name w:val="heading 7"/>
    <w:basedOn w:val="Normal"/>
    <w:next w:val="Normal"/>
    <w:link w:val="Heading7Char"/>
    <w:uiPriority w:val="9"/>
    <w:semiHidden/>
    <w:unhideWhenUsed/>
    <w:qFormat/>
    <w:rsid w:val="007628F3"/>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val="en-US"/>
    </w:rPr>
  </w:style>
  <w:style w:type="paragraph" w:styleId="Heading8">
    <w:name w:val="heading 8"/>
    <w:basedOn w:val="Normal"/>
    <w:next w:val="Normal"/>
    <w:link w:val="Heading8Char"/>
    <w:uiPriority w:val="9"/>
    <w:semiHidden/>
    <w:unhideWhenUsed/>
    <w:qFormat/>
    <w:rsid w:val="007628F3"/>
    <w:pPr>
      <w:spacing w:after="120" w:line="252" w:lineRule="auto"/>
      <w:jc w:val="center"/>
      <w:outlineLvl w:val="7"/>
    </w:pPr>
    <w:rPr>
      <w:rFonts w:asciiTheme="majorHAnsi" w:eastAsiaTheme="majorEastAsia" w:hAnsiTheme="majorHAnsi" w:cstheme="majorBidi"/>
      <w:caps/>
      <w:spacing w:val="10"/>
      <w:sz w:val="20"/>
      <w:szCs w:val="20"/>
      <w:lang w:val="en-US"/>
    </w:rPr>
  </w:style>
  <w:style w:type="paragraph" w:styleId="Heading9">
    <w:name w:val="heading 9"/>
    <w:basedOn w:val="Normal"/>
    <w:next w:val="Normal"/>
    <w:link w:val="Heading9Char"/>
    <w:uiPriority w:val="9"/>
    <w:semiHidden/>
    <w:unhideWhenUsed/>
    <w:qFormat/>
    <w:rsid w:val="007628F3"/>
    <w:pPr>
      <w:spacing w:after="120" w:line="252" w:lineRule="auto"/>
      <w:jc w:val="center"/>
      <w:outlineLvl w:val="8"/>
    </w:pPr>
    <w:rPr>
      <w:rFonts w:asciiTheme="majorHAnsi" w:eastAsiaTheme="majorEastAsia" w:hAnsiTheme="majorHAnsi" w:cstheme="majorBidi"/>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guard">
    <w:name w:val="wixguard"/>
    <w:basedOn w:val="DefaultParagraphFont"/>
    <w:rsid w:val="00BF14D7"/>
  </w:style>
  <w:style w:type="character" w:styleId="Hyperlink">
    <w:name w:val="Hyperlink"/>
    <w:basedOn w:val="DefaultParagraphFont"/>
    <w:uiPriority w:val="99"/>
    <w:unhideWhenUsed/>
    <w:rsid w:val="00BF14D7"/>
    <w:rPr>
      <w:color w:val="0000FF"/>
      <w:u w:val="single"/>
    </w:rPr>
  </w:style>
  <w:style w:type="paragraph" w:customStyle="1" w:styleId="font8">
    <w:name w:val="font_8"/>
    <w:basedOn w:val="Normal"/>
    <w:rsid w:val="00BF14D7"/>
    <w:pPr>
      <w:spacing w:before="100" w:beforeAutospacing="1" w:after="100" w:afterAutospacing="1" w:line="252" w:lineRule="auto"/>
    </w:pPr>
    <w:rPr>
      <w:rFonts w:ascii="Times" w:eastAsiaTheme="majorEastAsia" w:hAnsi="Times" w:cstheme="majorBidi"/>
      <w:sz w:val="20"/>
      <w:szCs w:val="20"/>
      <w:lang w:val="en-US"/>
    </w:rPr>
  </w:style>
  <w:style w:type="character" w:customStyle="1" w:styleId="Heading2Char">
    <w:name w:val="Heading 2 Char"/>
    <w:aliases w:val="MS Heading 2 Char"/>
    <w:basedOn w:val="DefaultParagraphFont"/>
    <w:link w:val="Heading2"/>
    <w:uiPriority w:val="9"/>
    <w:rsid w:val="00671655"/>
    <w:rPr>
      <w:rFonts w:ascii="Arial" w:hAnsi="Arial"/>
      <w:b/>
      <w:caps/>
      <w:color w:val="632423" w:themeColor="accent2" w:themeShade="80"/>
      <w:spacing w:val="15"/>
      <w:sz w:val="24"/>
      <w:szCs w:val="24"/>
      <w:bdr w:val="none" w:sz="0" w:space="0" w:color="auto" w:frame="1"/>
    </w:rPr>
  </w:style>
  <w:style w:type="character" w:customStyle="1" w:styleId="Heading1Char">
    <w:name w:val="Heading 1 Char"/>
    <w:aliases w:val="MS Heading 1 Char"/>
    <w:basedOn w:val="DefaultParagraphFont"/>
    <w:link w:val="Heading1"/>
    <w:uiPriority w:val="9"/>
    <w:rsid w:val="00B441B1"/>
    <w:rPr>
      <w:rFonts w:ascii="Arial" w:eastAsiaTheme="minorEastAsia" w:hAnsi="Arial" w:cs="Arial"/>
      <w:b/>
      <w:bCs/>
      <w:noProof/>
      <w:color w:val="632423" w:themeColor="accent2" w:themeShade="80"/>
      <w:sz w:val="26"/>
      <w:szCs w:val="26"/>
      <w:shd w:val="clear" w:color="auto" w:fill="E0E0E0"/>
    </w:rPr>
  </w:style>
  <w:style w:type="character" w:styleId="FollowedHyperlink">
    <w:name w:val="FollowedHyperlink"/>
    <w:basedOn w:val="DefaultParagraphFont"/>
    <w:uiPriority w:val="99"/>
    <w:semiHidden/>
    <w:unhideWhenUsed/>
    <w:rsid w:val="00BF14D7"/>
    <w:rPr>
      <w:color w:val="800080" w:themeColor="followedHyperlink"/>
      <w:u w:val="single"/>
    </w:rPr>
  </w:style>
  <w:style w:type="paragraph" w:customStyle="1" w:styleId="font7">
    <w:name w:val="font_7"/>
    <w:basedOn w:val="Normal"/>
    <w:rsid w:val="00BF14D7"/>
    <w:pPr>
      <w:spacing w:before="100" w:beforeAutospacing="1" w:after="100" w:afterAutospacing="1" w:line="252" w:lineRule="auto"/>
    </w:pPr>
    <w:rPr>
      <w:rFonts w:ascii="Times" w:eastAsiaTheme="majorEastAsia" w:hAnsi="Times" w:cstheme="majorBidi"/>
      <w:sz w:val="20"/>
      <w:szCs w:val="20"/>
      <w:lang w:val="en-US"/>
    </w:rPr>
  </w:style>
  <w:style w:type="character" w:customStyle="1" w:styleId="Heading3Char">
    <w:name w:val="Heading 3 Char"/>
    <w:aliases w:val="MS Heading 3 Char"/>
    <w:basedOn w:val="DefaultParagraphFont"/>
    <w:link w:val="Heading3"/>
    <w:uiPriority w:val="9"/>
    <w:rsid w:val="007A6720"/>
    <w:rPr>
      <w:rFonts w:ascii="Arial" w:hAnsi="Arial" w:cs="Arial"/>
      <w:b/>
      <w:smallCaps/>
      <w:color w:val="622423" w:themeColor="accent2" w:themeShade="7F"/>
      <w:sz w:val="26"/>
      <w:szCs w:val="26"/>
      <w:bdr w:val="none" w:sz="0" w:space="0" w:color="auto" w:frame="1"/>
    </w:rPr>
  </w:style>
  <w:style w:type="paragraph" w:styleId="ListParagraph">
    <w:name w:val="List Paragraph"/>
    <w:basedOn w:val="Normal"/>
    <w:uiPriority w:val="34"/>
    <w:qFormat/>
    <w:rsid w:val="007628F3"/>
    <w:pPr>
      <w:spacing w:after="200" w:line="252" w:lineRule="auto"/>
      <w:ind w:left="720"/>
      <w:contextualSpacing/>
    </w:pPr>
    <w:rPr>
      <w:rFonts w:asciiTheme="majorHAnsi" w:eastAsiaTheme="majorEastAsia" w:hAnsiTheme="majorHAnsi" w:cstheme="majorBidi"/>
      <w:sz w:val="22"/>
      <w:szCs w:val="22"/>
      <w:lang w:val="en-US"/>
    </w:rPr>
  </w:style>
  <w:style w:type="paragraph" w:styleId="NormalWeb">
    <w:name w:val="Normal (Web)"/>
    <w:basedOn w:val="Normal"/>
    <w:uiPriority w:val="99"/>
    <w:semiHidden/>
    <w:unhideWhenUsed/>
    <w:rsid w:val="00BF14D7"/>
    <w:pPr>
      <w:spacing w:before="100" w:beforeAutospacing="1" w:after="100" w:afterAutospacing="1" w:line="252" w:lineRule="auto"/>
    </w:pPr>
    <w:rPr>
      <w:rFonts w:ascii="Times" w:eastAsiaTheme="majorEastAsia" w:hAnsi="Times"/>
      <w:sz w:val="20"/>
      <w:szCs w:val="20"/>
      <w:lang w:val="en-US"/>
    </w:rPr>
  </w:style>
  <w:style w:type="character" w:customStyle="1" w:styleId="Heading4Char">
    <w:name w:val="Heading 4 Char"/>
    <w:aliases w:val="MS Heading 4 Char"/>
    <w:basedOn w:val="DefaultParagraphFont"/>
    <w:link w:val="Heading4"/>
    <w:uiPriority w:val="9"/>
    <w:rsid w:val="00732DF5"/>
    <w:rPr>
      <w:rFonts w:ascii="Arial" w:hAnsi="Arial"/>
      <w:b/>
      <w:bCs/>
      <w:color w:val="632423" w:themeColor="accent2" w:themeShade="80"/>
      <w:spacing w:val="10"/>
      <w:bdr w:val="none" w:sz="0" w:space="0" w:color="auto" w:frame="1"/>
    </w:rPr>
  </w:style>
  <w:style w:type="paragraph" w:styleId="TOCHeading">
    <w:name w:val="TOC Heading"/>
    <w:basedOn w:val="Heading1"/>
    <w:next w:val="Normal"/>
    <w:uiPriority w:val="39"/>
    <w:unhideWhenUsed/>
    <w:qFormat/>
    <w:rsid w:val="007628F3"/>
    <w:pPr>
      <w:outlineLvl w:val="9"/>
    </w:pPr>
    <w:rPr>
      <w:lang w:bidi="en-US"/>
    </w:rPr>
  </w:style>
  <w:style w:type="paragraph" w:styleId="TOC1">
    <w:name w:val="toc 1"/>
    <w:basedOn w:val="Normal"/>
    <w:next w:val="Normal"/>
    <w:autoRedefine/>
    <w:uiPriority w:val="39"/>
    <w:unhideWhenUsed/>
    <w:rsid w:val="007A6720"/>
    <w:pPr>
      <w:tabs>
        <w:tab w:val="right" w:leader="dot" w:pos="8630"/>
      </w:tabs>
      <w:spacing w:before="120" w:after="200" w:line="480" w:lineRule="auto"/>
    </w:pPr>
    <w:rPr>
      <w:rFonts w:asciiTheme="majorHAnsi" w:eastAsiaTheme="majorEastAsia" w:hAnsiTheme="majorHAnsi" w:cstheme="majorBidi"/>
      <w:b/>
      <w:sz w:val="22"/>
      <w:szCs w:val="22"/>
      <w:lang w:val="en-US"/>
    </w:rPr>
  </w:style>
  <w:style w:type="paragraph" w:styleId="TOC2">
    <w:name w:val="toc 2"/>
    <w:basedOn w:val="Normal"/>
    <w:next w:val="Normal"/>
    <w:autoRedefine/>
    <w:uiPriority w:val="39"/>
    <w:unhideWhenUsed/>
    <w:rsid w:val="00721C1C"/>
    <w:pPr>
      <w:spacing w:after="200" w:line="252" w:lineRule="auto"/>
      <w:ind w:left="240"/>
    </w:pPr>
    <w:rPr>
      <w:rFonts w:asciiTheme="majorHAnsi" w:eastAsiaTheme="majorEastAsia" w:hAnsiTheme="majorHAnsi" w:cstheme="majorBidi"/>
      <w:b/>
      <w:sz w:val="22"/>
      <w:szCs w:val="22"/>
      <w:lang w:val="en-US"/>
    </w:rPr>
  </w:style>
  <w:style w:type="paragraph" w:styleId="TOC3">
    <w:name w:val="toc 3"/>
    <w:basedOn w:val="Normal"/>
    <w:next w:val="Normal"/>
    <w:autoRedefine/>
    <w:uiPriority w:val="39"/>
    <w:unhideWhenUsed/>
    <w:rsid w:val="00721C1C"/>
    <w:pPr>
      <w:spacing w:after="200" w:line="252" w:lineRule="auto"/>
      <w:ind w:left="480"/>
    </w:pPr>
    <w:rPr>
      <w:rFonts w:asciiTheme="majorHAnsi" w:eastAsiaTheme="majorEastAsia" w:hAnsiTheme="majorHAnsi" w:cstheme="majorBidi"/>
      <w:sz w:val="22"/>
      <w:szCs w:val="22"/>
      <w:lang w:val="en-US"/>
    </w:rPr>
  </w:style>
  <w:style w:type="paragraph" w:styleId="BalloonText">
    <w:name w:val="Balloon Text"/>
    <w:basedOn w:val="Normal"/>
    <w:link w:val="BalloonTextChar"/>
    <w:uiPriority w:val="99"/>
    <w:semiHidden/>
    <w:unhideWhenUsed/>
    <w:rsid w:val="00721C1C"/>
    <w:pPr>
      <w:spacing w:after="200" w:line="252" w:lineRule="auto"/>
    </w:pPr>
    <w:rPr>
      <w:rFonts w:ascii="Lucida Grande" w:eastAsiaTheme="maj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721C1C"/>
    <w:rPr>
      <w:rFonts w:ascii="Lucida Grande" w:hAnsi="Lucida Grande" w:cs="Lucida Grande"/>
      <w:sz w:val="18"/>
      <w:szCs w:val="18"/>
    </w:rPr>
  </w:style>
  <w:style w:type="paragraph" w:styleId="TOC4">
    <w:name w:val="toc 4"/>
    <w:basedOn w:val="Normal"/>
    <w:next w:val="Normal"/>
    <w:autoRedefine/>
    <w:uiPriority w:val="39"/>
    <w:unhideWhenUsed/>
    <w:rsid w:val="00721C1C"/>
    <w:pPr>
      <w:spacing w:after="200" w:line="252" w:lineRule="auto"/>
      <w:ind w:left="720"/>
    </w:pPr>
    <w:rPr>
      <w:rFonts w:asciiTheme="majorHAnsi" w:eastAsiaTheme="majorEastAsia" w:hAnsiTheme="majorHAnsi" w:cstheme="majorBidi"/>
      <w:sz w:val="20"/>
      <w:szCs w:val="20"/>
      <w:lang w:val="en-US"/>
    </w:rPr>
  </w:style>
  <w:style w:type="paragraph" w:styleId="TOC5">
    <w:name w:val="toc 5"/>
    <w:basedOn w:val="Normal"/>
    <w:next w:val="Normal"/>
    <w:autoRedefine/>
    <w:uiPriority w:val="39"/>
    <w:unhideWhenUsed/>
    <w:rsid w:val="00721C1C"/>
    <w:pPr>
      <w:spacing w:after="200" w:line="252" w:lineRule="auto"/>
      <w:ind w:left="960"/>
    </w:pPr>
    <w:rPr>
      <w:rFonts w:asciiTheme="majorHAnsi" w:eastAsiaTheme="majorEastAsia" w:hAnsiTheme="majorHAnsi" w:cstheme="majorBidi"/>
      <w:sz w:val="20"/>
      <w:szCs w:val="20"/>
      <w:lang w:val="en-US"/>
    </w:rPr>
  </w:style>
  <w:style w:type="paragraph" w:styleId="TOC6">
    <w:name w:val="toc 6"/>
    <w:basedOn w:val="Normal"/>
    <w:next w:val="Normal"/>
    <w:autoRedefine/>
    <w:uiPriority w:val="39"/>
    <w:unhideWhenUsed/>
    <w:rsid w:val="00721C1C"/>
    <w:pPr>
      <w:spacing w:after="200" w:line="252" w:lineRule="auto"/>
      <w:ind w:left="1200"/>
    </w:pPr>
    <w:rPr>
      <w:rFonts w:asciiTheme="majorHAnsi" w:eastAsiaTheme="majorEastAsia" w:hAnsiTheme="majorHAnsi" w:cstheme="majorBidi"/>
      <w:sz w:val="20"/>
      <w:szCs w:val="20"/>
      <w:lang w:val="en-US"/>
    </w:rPr>
  </w:style>
  <w:style w:type="paragraph" w:styleId="TOC7">
    <w:name w:val="toc 7"/>
    <w:basedOn w:val="Normal"/>
    <w:next w:val="Normal"/>
    <w:autoRedefine/>
    <w:uiPriority w:val="39"/>
    <w:unhideWhenUsed/>
    <w:rsid w:val="00721C1C"/>
    <w:pPr>
      <w:spacing w:after="200" w:line="252" w:lineRule="auto"/>
      <w:ind w:left="1440"/>
    </w:pPr>
    <w:rPr>
      <w:rFonts w:asciiTheme="majorHAnsi" w:eastAsiaTheme="majorEastAsia" w:hAnsiTheme="majorHAnsi" w:cstheme="majorBidi"/>
      <w:sz w:val="20"/>
      <w:szCs w:val="20"/>
      <w:lang w:val="en-US"/>
    </w:rPr>
  </w:style>
  <w:style w:type="paragraph" w:styleId="TOC8">
    <w:name w:val="toc 8"/>
    <w:basedOn w:val="Normal"/>
    <w:next w:val="Normal"/>
    <w:autoRedefine/>
    <w:uiPriority w:val="39"/>
    <w:unhideWhenUsed/>
    <w:rsid w:val="00721C1C"/>
    <w:pPr>
      <w:spacing w:after="200" w:line="252" w:lineRule="auto"/>
      <w:ind w:left="1680"/>
    </w:pPr>
    <w:rPr>
      <w:rFonts w:asciiTheme="majorHAnsi" w:eastAsiaTheme="majorEastAsia" w:hAnsiTheme="majorHAnsi" w:cstheme="majorBidi"/>
      <w:sz w:val="20"/>
      <w:szCs w:val="20"/>
      <w:lang w:val="en-US"/>
    </w:rPr>
  </w:style>
  <w:style w:type="paragraph" w:styleId="TOC9">
    <w:name w:val="toc 9"/>
    <w:basedOn w:val="Normal"/>
    <w:next w:val="Normal"/>
    <w:autoRedefine/>
    <w:uiPriority w:val="39"/>
    <w:unhideWhenUsed/>
    <w:rsid w:val="00721C1C"/>
    <w:pPr>
      <w:spacing w:after="200" w:line="252" w:lineRule="auto"/>
      <w:ind w:left="1920"/>
    </w:pPr>
    <w:rPr>
      <w:rFonts w:asciiTheme="majorHAnsi" w:eastAsiaTheme="majorEastAsia" w:hAnsiTheme="majorHAnsi" w:cstheme="majorBidi"/>
      <w:sz w:val="20"/>
      <w:szCs w:val="20"/>
      <w:lang w:val="en-US"/>
    </w:rPr>
  </w:style>
  <w:style w:type="paragraph" w:styleId="NoSpacing">
    <w:name w:val="No Spacing"/>
    <w:aliases w:val="MS Regular"/>
    <w:basedOn w:val="Normal"/>
    <w:link w:val="NoSpacingChar"/>
    <w:autoRedefine/>
    <w:uiPriority w:val="1"/>
    <w:qFormat/>
    <w:rsid w:val="003B5CF2"/>
    <w:pPr>
      <w:spacing w:line="276" w:lineRule="auto"/>
      <w:jc w:val="both"/>
    </w:pPr>
    <w:rPr>
      <w:rFonts w:ascii="Arial" w:hAnsi="Arial" w:cs="Arial"/>
      <w:bCs/>
      <w:iCs/>
      <w:color w:val="000000"/>
      <w:bdr w:val="none" w:sz="0" w:space="0" w:color="auto" w:frame="1"/>
      <w:shd w:val="clear" w:color="auto" w:fill="FFFFFF"/>
      <w:lang w:val="en-US"/>
    </w:rPr>
  </w:style>
  <w:style w:type="paragraph" w:customStyle="1" w:styleId="aparanumbering">
    <w:name w:val="aparanumbering"/>
    <w:basedOn w:val="Normal"/>
    <w:rsid w:val="00E34348"/>
    <w:pPr>
      <w:spacing w:before="100" w:beforeAutospacing="1" w:after="100" w:afterAutospacing="1" w:line="252" w:lineRule="auto"/>
    </w:pPr>
    <w:rPr>
      <w:rFonts w:ascii="Times" w:eastAsiaTheme="majorEastAsia" w:hAnsi="Times" w:cstheme="majorBidi"/>
      <w:sz w:val="20"/>
      <w:szCs w:val="20"/>
      <w:lang w:val="en-US"/>
    </w:rPr>
  </w:style>
  <w:style w:type="character" w:styleId="Emphasis">
    <w:name w:val="Emphasis"/>
    <w:uiPriority w:val="20"/>
    <w:qFormat/>
    <w:rsid w:val="007628F3"/>
    <w:rPr>
      <w:caps/>
      <w:spacing w:val="5"/>
      <w:sz w:val="20"/>
      <w:szCs w:val="20"/>
    </w:rPr>
  </w:style>
  <w:style w:type="character" w:customStyle="1" w:styleId="Heading5Char">
    <w:name w:val="Heading 5 Char"/>
    <w:basedOn w:val="DefaultParagraphFont"/>
    <w:link w:val="Heading5"/>
    <w:uiPriority w:val="9"/>
    <w:semiHidden/>
    <w:rsid w:val="007628F3"/>
    <w:rPr>
      <w:caps/>
      <w:color w:val="622423" w:themeColor="accent2" w:themeShade="7F"/>
      <w:spacing w:val="10"/>
    </w:rPr>
  </w:style>
  <w:style w:type="character" w:customStyle="1" w:styleId="Heading6Char">
    <w:name w:val="Heading 6 Char"/>
    <w:basedOn w:val="DefaultParagraphFont"/>
    <w:link w:val="Heading6"/>
    <w:uiPriority w:val="9"/>
    <w:semiHidden/>
    <w:rsid w:val="007628F3"/>
    <w:rPr>
      <w:caps/>
      <w:color w:val="943634" w:themeColor="accent2" w:themeShade="BF"/>
      <w:spacing w:val="10"/>
    </w:rPr>
  </w:style>
  <w:style w:type="character" w:customStyle="1" w:styleId="Heading7Char">
    <w:name w:val="Heading 7 Char"/>
    <w:basedOn w:val="DefaultParagraphFont"/>
    <w:link w:val="Heading7"/>
    <w:uiPriority w:val="9"/>
    <w:semiHidden/>
    <w:rsid w:val="007628F3"/>
    <w:rPr>
      <w:i/>
      <w:iCs/>
      <w:caps/>
      <w:color w:val="943634" w:themeColor="accent2" w:themeShade="BF"/>
      <w:spacing w:val="10"/>
    </w:rPr>
  </w:style>
  <w:style w:type="character" w:customStyle="1" w:styleId="Heading8Char">
    <w:name w:val="Heading 8 Char"/>
    <w:basedOn w:val="DefaultParagraphFont"/>
    <w:link w:val="Heading8"/>
    <w:uiPriority w:val="9"/>
    <w:semiHidden/>
    <w:rsid w:val="007628F3"/>
    <w:rPr>
      <w:caps/>
      <w:spacing w:val="10"/>
      <w:sz w:val="20"/>
      <w:szCs w:val="20"/>
    </w:rPr>
  </w:style>
  <w:style w:type="character" w:customStyle="1" w:styleId="Heading9Char">
    <w:name w:val="Heading 9 Char"/>
    <w:basedOn w:val="DefaultParagraphFont"/>
    <w:link w:val="Heading9"/>
    <w:uiPriority w:val="9"/>
    <w:semiHidden/>
    <w:rsid w:val="007628F3"/>
    <w:rPr>
      <w:i/>
      <w:iCs/>
      <w:caps/>
      <w:spacing w:val="10"/>
      <w:sz w:val="20"/>
      <w:szCs w:val="20"/>
    </w:rPr>
  </w:style>
  <w:style w:type="paragraph" w:styleId="Caption">
    <w:name w:val="caption"/>
    <w:basedOn w:val="Normal"/>
    <w:next w:val="Normal"/>
    <w:uiPriority w:val="35"/>
    <w:semiHidden/>
    <w:unhideWhenUsed/>
    <w:qFormat/>
    <w:rsid w:val="007628F3"/>
    <w:pPr>
      <w:spacing w:after="200" w:line="252" w:lineRule="auto"/>
    </w:pPr>
    <w:rPr>
      <w:rFonts w:asciiTheme="majorHAnsi" w:eastAsiaTheme="majorEastAsia" w:hAnsiTheme="majorHAnsi" w:cstheme="majorBidi"/>
      <w:caps/>
      <w:spacing w:val="10"/>
      <w:sz w:val="18"/>
      <w:szCs w:val="18"/>
      <w:lang w:val="en-US"/>
    </w:rPr>
  </w:style>
  <w:style w:type="paragraph" w:styleId="Title">
    <w:name w:val="Title"/>
    <w:basedOn w:val="Normal"/>
    <w:next w:val="Normal"/>
    <w:link w:val="TitleChar"/>
    <w:uiPriority w:val="10"/>
    <w:qFormat/>
    <w:rsid w:val="007628F3"/>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rPr>
  </w:style>
  <w:style w:type="character" w:customStyle="1" w:styleId="TitleChar">
    <w:name w:val="Title Char"/>
    <w:basedOn w:val="DefaultParagraphFont"/>
    <w:link w:val="Title"/>
    <w:uiPriority w:val="10"/>
    <w:rsid w:val="007628F3"/>
    <w:rPr>
      <w:caps/>
      <w:color w:val="632423" w:themeColor="accent2" w:themeShade="80"/>
      <w:spacing w:val="50"/>
      <w:sz w:val="44"/>
      <w:szCs w:val="44"/>
    </w:rPr>
  </w:style>
  <w:style w:type="paragraph" w:styleId="Subtitle">
    <w:name w:val="Subtitle"/>
    <w:basedOn w:val="Normal"/>
    <w:next w:val="Normal"/>
    <w:link w:val="SubtitleChar"/>
    <w:uiPriority w:val="11"/>
    <w:qFormat/>
    <w:rsid w:val="007628F3"/>
    <w:pPr>
      <w:spacing w:after="560"/>
      <w:jc w:val="center"/>
    </w:pPr>
    <w:rPr>
      <w:rFonts w:asciiTheme="majorHAnsi" w:eastAsiaTheme="majorEastAsia" w:hAnsiTheme="majorHAnsi" w:cstheme="majorBidi"/>
      <w:caps/>
      <w:spacing w:val="20"/>
      <w:sz w:val="18"/>
      <w:szCs w:val="18"/>
      <w:lang w:val="en-US"/>
    </w:rPr>
  </w:style>
  <w:style w:type="character" w:customStyle="1" w:styleId="SubtitleChar">
    <w:name w:val="Subtitle Char"/>
    <w:basedOn w:val="DefaultParagraphFont"/>
    <w:link w:val="Subtitle"/>
    <w:uiPriority w:val="11"/>
    <w:rsid w:val="007628F3"/>
    <w:rPr>
      <w:caps/>
      <w:spacing w:val="20"/>
      <w:sz w:val="18"/>
      <w:szCs w:val="18"/>
    </w:rPr>
  </w:style>
  <w:style w:type="character" w:styleId="Strong">
    <w:name w:val="Strong"/>
    <w:uiPriority w:val="22"/>
    <w:qFormat/>
    <w:rsid w:val="007628F3"/>
    <w:rPr>
      <w:b/>
      <w:bCs/>
      <w:color w:val="943634" w:themeColor="accent2" w:themeShade="BF"/>
      <w:spacing w:val="5"/>
    </w:rPr>
  </w:style>
  <w:style w:type="character" w:customStyle="1" w:styleId="NoSpacingChar">
    <w:name w:val="No Spacing Char"/>
    <w:aliases w:val="MS Regular Char"/>
    <w:basedOn w:val="DefaultParagraphFont"/>
    <w:link w:val="NoSpacing"/>
    <w:uiPriority w:val="1"/>
    <w:rsid w:val="003B5CF2"/>
    <w:rPr>
      <w:rFonts w:ascii="Arial" w:eastAsia="Times New Roman" w:hAnsi="Arial" w:cs="Arial"/>
      <w:bCs/>
      <w:iCs/>
      <w:color w:val="000000"/>
      <w:sz w:val="24"/>
      <w:szCs w:val="24"/>
      <w:bdr w:val="none" w:sz="0" w:space="0" w:color="auto" w:frame="1"/>
    </w:rPr>
  </w:style>
  <w:style w:type="paragraph" w:styleId="Quote">
    <w:name w:val="Quote"/>
    <w:basedOn w:val="Normal"/>
    <w:next w:val="Normal"/>
    <w:link w:val="QuoteChar"/>
    <w:uiPriority w:val="29"/>
    <w:qFormat/>
    <w:rsid w:val="007628F3"/>
    <w:pPr>
      <w:spacing w:after="200" w:line="252" w:lineRule="auto"/>
    </w:pPr>
    <w:rPr>
      <w:rFonts w:asciiTheme="majorHAnsi" w:eastAsiaTheme="majorEastAsia" w:hAnsiTheme="majorHAnsi" w:cstheme="majorBidi"/>
      <w:i/>
      <w:iCs/>
      <w:sz w:val="22"/>
      <w:szCs w:val="22"/>
      <w:lang w:val="en-US"/>
    </w:rPr>
  </w:style>
  <w:style w:type="character" w:customStyle="1" w:styleId="QuoteChar">
    <w:name w:val="Quote Char"/>
    <w:basedOn w:val="DefaultParagraphFont"/>
    <w:link w:val="Quote"/>
    <w:uiPriority w:val="29"/>
    <w:rsid w:val="007628F3"/>
    <w:rPr>
      <w:i/>
      <w:iCs/>
    </w:rPr>
  </w:style>
  <w:style w:type="paragraph" w:styleId="IntenseQuote">
    <w:name w:val="Intense Quote"/>
    <w:basedOn w:val="Normal"/>
    <w:next w:val="Normal"/>
    <w:link w:val="IntenseQuoteChar"/>
    <w:uiPriority w:val="30"/>
    <w:qFormat/>
    <w:rsid w:val="007628F3"/>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rsid w:val="007628F3"/>
    <w:rPr>
      <w:caps/>
      <w:color w:val="622423" w:themeColor="accent2" w:themeShade="7F"/>
      <w:spacing w:val="5"/>
      <w:sz w:val="20"/>
      <w:szCs w:val="20"/>
    </w:rPr>
  </w:style>
  <w:style w:type="character" w:styleId="SubtleEmphasis">
    <w:name w:val="Subtle Emphasis"/>
    <w:uiPriority w:val="19"/>
    <w:qFormat/>
    <w:rsid w:val="007628F3"/>
    <w:rPr>
      <w:i/>
      <w:iCs/>
    </w:rPr>
  </w:style>
  <w:style w:type="character" w:styleId="IntenseEmphasis">
    <w:name w:val="Intense Emphasis"/>
    <w:uiPriority w:val="21"/>
    <w:qFormat/>
    <w:rsid w:val="007628F3"/>
    <w:rPr>
      <w:i/>
      <w:iCs/>
      <w:caps/>
      <w:spacing w:val="10"/>
      <w:sz w:val="20"/>
      <w:szCs w:val="20"/>
    </w:rPr>
  </w:style>
  <w:style w:type="character" w:styleId="SubtleReference">
    <w:name w:val="Subtle Reference"/>
    <w:basedOn w:val="DefaultParagraphFont"/>
    <w:uiPriority w:val="31"/>
    <w:qFormat/>
    <w:rsid w:val="007628F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628F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628F3"/>
    <w:rPr>
      <w:caps/>
      <w:color w:val="622423" w:themeColor="accent2" w:themeShade="7F"/>
      <w:spacing w:val="5"/>
      <w:u w:color="622423" w:themeColor="accent2" w:themeShade="7F"/>
    </w:rPr>
  </w:style>
  <w:style w:type="paragraph" w:styleId="Footer">
    <w:name w:val="footer"/>
    <w:basedOn w:val="Normal"/>
    <w:link w:val="FooterChar"/>
    <w:uiPriority w:val="99"/>
    <w:unhideWhenUsed/>
    <w:rsid w:val="000244F0"/>
    <w:pPr>
      <w:tabs>
        <w:tab w:val="center" w:pos="4320"/>
        <w:tab w:val="right" w:pos="8640"/>
      </w:tabs>
    </w:pPr>
    <w:rPr>
      <w:rFonts w:asciiTheme="majorHAnsi" w:eastAsiaTheme="majorEastAsia" w:hAnsiTheme="majorHAnsi" w:cstheme="majorBidi"/>
      <w:sz w:val="22"/>
      <w:szCs w:val="22"/>
      <w:lang w:val="en-US"/>
    </w:rPr>
  </w:style>
  <w:style w:type="character" w:customStyle="1" w:styleId="FooterChar">
    <w:name w:val="Footer Char"/>
    <w:basedOn w:val="DefaultParagraphFont"/>
    <w:link w:val="Footer"/>
    <w:uiPriority w:val="99"/>
    <w:rsid w:val="000244F0"/>
  </w:style>
  <w:style w:type="character" w:styleId="PageNumber">
    <w:name w:val="page number"/>
    <w:basedOn w:val="DefaultParagraphFont"/>
    <w:uiPriority w:val="99"/>
    <w:semiHidden/>
    <w:unhideWhenUsed/>
    <w:rsid w:val="000244F0"/>
  </w:style>
  <w:style w:type="paragraph" w:customStyle="1" w:styleId="bcontinuingpara">
    <w:name w:val="bcontinuingpara"/>
    <w:basedOn w:val="Normal"/>
    <w:rsid w:val="001F4617"/>
    <w:pPr>
      <w:spacing w:before="100" w:beforeAutospacing="1" w:after="100" w:afterAutospacing="1"/>
    </w:pPr>
    <w:rPr>
      <w:rFonts w:ascii="Times" w:eastAsiaTheme="majorEastAsia" w:hAnsi="Times" w:cstheme="majorBidi"/>
      <w:sz w:val="20"/>
      <w:szCs w:val="20"/>
      <w:lang w:val="en-US"/>
    </w:rPr>
  </w:style>
  <w:style w:type="paragraph" w:customStyle="1" w:styleId="cquote">
    <w:name w:val="cquote"/>
    <w:basedOn w:val="Normal"/>
    <w:rsid w:val="0035647F"/>
    <w:pPr>
      <w:spacing w:before="100" w:beforeAutospacing="1" w:after="100" w:afterAutospacing="1"/>
    </w:pPr>
    <w:rPr>
      <w:rFonts w:ascii="Times" w:eastAsiaTheme="majorEastAsia" w:hAnsi="Times" w:cstheme="majorBidi"/>
      <w:sz w:val="20"/>
      <w:szCs w:val="20"/>
      <w:lang w:val="en-US"/>
    </w:rPr>
  </w:style>
  <w:style w:type="character" w:customStyle="1" w:styleId="reflex3-block">
    <w:name w:val="reflex3-block"/>
    <w:basedOn w:val="DefaultParagraphFont"/>
    <w:rsid w:val="005C0227"/>
  </w:style>
  <w:style w:type="character" w:customStyle="1" w:styleId="reflex3-alt">
    <w:name w:val="reflex3-alt"/>
    <w:basedOn w:val="DefaultParagraphFont"/>
    <w:rsid w:val="005C0227"/>
  </w:style>
  <w:style w:type="character" w:customStyle="1" w:styleId="UnresolvedMention1">
    <w:name w:val="Unresolved Mention1"/>
    <w:basedOn w:val="DefaultParagraphFont"/>
    <w:uiPriority w:val="99"/>
    <w:semiHidden/>
    <w:unhideWhenUsed/>
    <w:rsid w:val="00986835"/>
    <w:rPr>
      <w:color w:val="808080"/>
      <w:shd w:val="clear" w:color="auto" w:fill="E6E6E6"/>
    </w:rPr>
  </w:style>
  <w:style w:type="paragraph" w:styleId="ListBullet">
    <w:name w:val="List Bullet"/>
    <w:basedOn w:val="Normal"/>
    <w:uiPriority w:val="99"/>
    <w:semiHidden/>
    <w:unhideWhenUsed/>
    <w:rsid w:val="00EC6F02"/>
    <w:pPr>
      <w:spacing w:before="100" w:beforeAutospacing="1" w:after="100" w:afterAutospacing="1"/>
    </w:pPr>
    <w:rPr>
      <w:rFonts w:ascii="Times" w:eastAsiaTheme="majorEastAsia" w:hAnsi="Times" w:cstheme="majorBidi"/>
      <w:sz w:val="20"/>
      <w:szCs w:val="20"/>
      <w:lang w:val="en-US"/>
    </w:rPr>
  </w:style>
  <w:style w:type="character" w:customStyle="1" w:styleId="emphasisstrongchar">
    <w:name w:val="emphasisstrongchar"/>
    <w:basedOn w:val="DefaultParagraphFont"/>
    <w:rsid w:val="00EC6F02"/>
  </w:style>
  <w:style w:type="character" w:customStyle="1" w:styleId="UnresolvedMention2">
    <w:name w:val="Unresolved Mention2"/>
    <w:basedOn w:val="DefaultParagraphFont"/>
    <w:uiPriority w:val="99"/>
    <w:semiHidden/>
    <w:unhideWhenUsed/>
    <w:rsid w:val="009E4EB4"/>
    <w:rPr>
      <w:color w:val="808080"/>
      <w:shd w:val="clear" w:color="auto" w:fill="E6E6E6"/>
    </w:rPr>
  </w:style>
  <w:style w:type="character" w:customStyle="1" w:styleId="underline">
    <w:name w:val="underline"/>
    <w:basedOn w:val="DefaultParagraphFont"/>
    <w:rsid w:val="00E010B8"/>
  </w:style>
  <w:style w:type="paragraph" w:customStyle="1" w:styleId="subsection">
    <w:name w:val="subsection"/>
    <w:basedOn w:val="Normal"/>
    <w:rsid w:val="005C14F1"/>
    <w:pPr>
      <w:spacing w:before="100" w:beforeAutospacing="1" w:after="100" w:afterAutospacing="1"/>
    </w:pPr>
    <w:rPr>
      <w:rFonts w:ascii="Times" w:eastAsiaTheme="majorEastAsia" w:hAnsi="Times" w:cstheme="majorBidi"/>
      <w:sz w:val="20"/>
      <w:szCs w:val="20"/>
      <w:lang w:val="en-US"/>
    </w:rPr>
  </w:style>
  <w:style w:type="character" w:customStyle="1" w:styleId="sectionlabel">
    <w:name w:val="sectionlabel"/>
    <w:basedOn w:val="DefaultParagraphFont"/>
    <w:rsid w:val="005C14F1"/>
  </w:style>
  <w:style w:type="character" w:customStyle="1" w:styleId="lawlabel">
    <w:name w:val="lawlabel"/>
    <w:basedOn w:val="DefaultParagraphFont"/>
    <w:rsid w:val="005C14F1"/>
  </w:style>
  <w:style w:type="paragraph" w:styleId="Header">
    <w:name w:val="header"/>
    <w:basedOn w:val="Normal"/>
    <w:link w:val="HeaderChar"/>
    <w:uiPriority w:val="99"/>
    <w:unhideWhenUsed/>
    <w:rsid w:val="0087014C"/>
    <w:pPr>
      <w:tabs>
        <w:tab w:val="center" w:pos="4320"/>
        <w:tab w:val="right" w:pos="8640"/>
      </w:tabs>
    </w:pPr>
    <w:rPr>
      <w:rFonts w:asciiTheme="majorHAnsi" w:eastAsiaTheme="majorEastAsia" w:hAnsiTheme="majorHAnsi" w:cstheme="majorBidi"/>
      <w:sz w:val="22"/>
      <w:szCs w:val="22"/>
      <w:lang w:val="en-US"/>
    </w:rPr>
  </w:style>
  <w:style w:type="character" w:customStyle="1" w:styleId="HeaderChar">
    <w:name w:val="Header Char"/>
    <w:basedOn w:val="DefaultParagraphFont"/>
    <w:link w:val="Header"/>
    <w:uiPriority w:val="99"/>
    <w:rsid w:val="0087014C"/>
  </w:style>
  <w:style w:type="paragraph" w:customStyle="1" w:styleId="dsubquote">
    <w:name w:val="dsubquote"/>
    <w:basedOn w:val="Normal"/>
    <w:rsid w:val="0087014C"/>
    <w:pPr>
      <w:spacing w:before="100" w:beforeAutospacing="1" w:after="100" w:afterAutospacing="1"/>
    </w:pPr>
    <w:rPr>
      <w:rFonts w:ascii="Times" w:eastAsiaTheme="majorEastAsia" w:hAnsi="Times" w:cstheme="majorBidi"/>
      <w:sz w:val="20"/>
      <w:szCs w:val="20"/>
      <w:lang w:val="en-US"/>
    </w:rPr>
  </w:style>
  <w:style w:type="character" w:styleId="UnresolvedMention">
    <w:name w:val="Unresolved Mention"/>
    <w:basedOn w:val="DefaultParagraphFont"/>
    <w:uiPriority w:val="99"/>
    <w:semiHidden/>
    <w:unhideWhenUsed/>
    <w:rsid w:val="00FF734E"/>
    <w:rPr>
      <w:color w:val="605E5C"/>
      <w:shd w:val="clear" w:color="auto" w:fill="E1DFDD"/>
    </w:rPr>
  </w:style>
  <w:style w:type="character" w:customStyle="1" w:styleId="apple-converted-space">
    <w:name w:val="apple-converted-space"/>
    <w:basedOn w:val="DefaultParagraphFont"/>
    <w:rsid w:val="00EF4A32"/>
  </w:style>
  <w:style w:type="paragraph" w:customStyle="1" w:styleId="paranondepar-altn">
    <w:name w:val="paranondepar-altn"/>
    <w:basedOn w:val="Normal"/>
    <w:rsid w:val="0046024C"/>
    <w:pPr>
      <w:spacing w:before="100" w:beforeAutospacing="1" w:after="100" w:afterAutospacing="1"/>
    </w:pPr>
  </w:style>
  <w:style w:type="character" w:customStyle="1" w:styleId="decisia-reflex2-icon">
    <w:name w:val="decisia-reflex2-icon"/>
    <w:basedOn w:val="DefaultParagraphFont"/>
    <w:rsid w:val="0046024C"/>
  </w:style>
  <w:style w:type="paragraph" w:customStyle="1" w:styleId="sccnormaldoublespacing">
    <w:name w:val="sccnormaldoublespacing"/>
    <w:basedOn w:val="Normal"/>
    <w:rsid w:val="00DB08A3"/>
    <w:pPr>
      <w:spacing w:before="100" w:beforeAutospacing="1" w:after="100" w:afterAutospacing="1"/>
    </w:pPr>
  </w:style>
  <w:style w:type="paragraph" w:styleId="ListNumber">
    <w:name w:val="List Number"/>
    <w:basedOn w:val="Normal"/>
    <w:uiPriority w:val="99"/>
    <w:unhideWhenUsed/>
    <w:rsid w:val="00525A3C"/>
    <w:pPr>
      <w:spacing w:before="100" w:beforeAutospacing="1" w:after="100" w:afterAutospacing="1"/>
    </w:pPr>
  </w:style>
  <w:style w:type="character" w:customStyle="1" w:styleId="sssh">
    <w:name w:val="ss_sh"/>
    <w:basedOn w:val="DefaultParagraphFont"/>
    <w:rsid w:val="00AA12DC"/>
  </w:style>
  <w:style w:type="character" w:customStyle="1" w:styleId="ssit">
    <w:name w:val="ss_it"/>
    <w:basedOn w:val="DefaultParagraphFont"/>
    <w:rsid w:val="00AA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700">
      <w:bodyDiv w:val="1"/>
      <w:marLeft w:val="0"/>
      <w:marRight w:val="0"/>
      <w:marTop w:val="0"/>
      <w:marBottom w:val="0"/>
      <w:divBdr>
        <w:top w:val="none" w:sz="0" w:space="0" w:color="auto"/>
        <w:left w:val="none" w:sz="0" w:space="0" w:color="auto"/>
        <w:bottom w:val="none" w:sz="0" w:space="0" w:color="auto"/>
        <w:right w:val="none" w:sz="0" w:space="0" w:color="auto"/>
      </w:divBdr>
    </w:div>
    <w:div w:id="13121322">
      <w:bodyDiv w:val="1"/>
      <w:marLeft w:val="0"/>
      <w:marRight w:val="0"/>
      <w:marTop w:val="0"/>
      <w:marBottom w:val="0"/>
      <w:divBdr>
        <w:top w:val="none" w:sz="0" w:space="0" w:color="auto"/>
        <w:left w:val="none" w:sz="0" w:space="0" w:color="auto"/>
        <w:bottom w:val="none" w:sz="0" w:space="0" w:color="auto"/>
        <w:right w:val="none" w:sz="0" w:space="0" w:color="auto"/>
      </w:divBdr>
    </w:div>
    <w:div w:id="14773728">
      <w:bodyDiv w:val="1"/>
      <w:marLeft w:val="0"/>
      <w:marRight w:val="0"/>
      <w:marTop w:val="0"/>
      <w:marBottom w:val="0"/>
      <w:divBdr>
        <w:top w:val="none" w:sz="0" w:space="0" w:color="auto"/>
        <w:left w:val="none" w:sz="0" w:space="0" w:color="auto"/>
        <w:bottom w:val="none" w:sz="0" w:space="0" w:color="auto"/>
        <w:right w:val="none" w:sz="0" w:space="0" w:color="auto"/>
      </w:divBdr>
    </w:div>
    <w:div w:id="17125829">
      <w:bodyDiv w:val="1"/>
      <w:marLeft w:val="0"/>
      <w:marRight w:val="0"/>
      <w:marTop w:val="0"/>
      <w:marBottom w:val="0"/>
      <w:divBdr>
        <w:top w:val="none" w:sz="0" w:space="0" w:color="auto"/>
        <w:left w:val="none" w:sz="0" w:space="0" w:color="auto"/>
        <w:bottom w:val="none" w:sz="0" w:space="0" w:color="auto"/>
        <w:right w:val="none" w:sz="0" w:space="0" w:color="auto"/>
      </w:divBdr>
    </w:div>
    <w:div w:id="17392467">
      <w:bodyDiv w:val="1"/>
      <w:marLeft w:val="0"/>
      <w:marRight w:val="0"/>
      <w:marTop w:val="0"/>
      <w:marBottom w:val="0"/>
      <w:divBdr>
        <w:top w:val="none" w:sz="0" w:space="0" w:color="auto"/>
        <w:left w:val="none" w:sz="0" w:space="0" w:color="auto"/>
        <w:bottom w:val="none" w:sz="0" w:space="0" w:color="auto"/>
        <w:right w:val="none" w:sz="0" w:space="0" w:color="auto"/>
      </w:divBdr>
    </w:div>
    <w:div w:id="22437523">
      <w:bodyDiv w:val="1"/>
      <w:marLeft w:val="0"/>
      <w:marRight w:val="0"/>
      <w:marTop w:val="0"/>
      <w:marBottom w:val="0"/>
      <w:divBdr>
        <w:top w:val="none" w:sz="0" w:space="0" w:color="auto"/>
        <w:left w:val="none" w:sz="0" w:space="0" w:color="auto"/>
        <w:bottom w:val="none" w:sz="0" w:space="0" w:color="auto"/>
        <w:right w:val="none" w:sz="0" w:space="0" w:color="auto"/>
      </w:divBdr>
    </w:div>
    <w:div w:id="29692244">
      <w:bodyDiv w:val="1"/>
      <w:marLeft w:val="0"/>
      <w:marRight w:val="0"/>
      <w:marTop w:val="0"/>
      <w:marBottom w:val="0"/>
      <w:divBdr>
        <w:top w:val="none" w:sz="0" w:space="0" w:color="auto"/>
        <w:left w:val="none" w:sz="0" w:space="0" w:color="auto"/>
        <w:bottom w:val="none" w:sz="0" w:space="0" w:color="auto"/>
        <w:right w:val="none" w:sz="0" w:space="0" w:color="auto"/>
      </w:divBdr>
    </w:div>
    <w:div w:id="30571604">
      <w:bodyDiv w:val="1"/>
      <w:marLeft w:val="0"/>
      <w:marRight w:val="0"/>
      <w:marTop w:val="0"/>
      <w:marBottom w:val="0"/>
      <w:divBdr>
        <w:top w:val="none" w:sz="0" w:space="0" w:color="auto"/>
        <w:left w:val="none" w:sz="0" w:space="0" w:color="auto"/>
        <w:bottom w:val="none" w:sz="0" w:space="0" w:color="auto"/>
        <w:right w:val="none" w:sz="0" w:space="0" w:color="auto"/>
      </w:divBdr>
    </w:div>
    <w:div w:id="32968686">
      <w:bodyDiv w:val="1"/>
      <w:marLeft w:val="0"/>
      <w:marRight w:val="0"/>
      <w:marTop w:val="0"/>
      <w:marBottom w:val="0"/>
      <w:divBdr>
        <w:top w:val="none" w:sz="0" w:space="0" w:color="auto"/>
        <w:left w:val="none" w:sz="0" w:space="0" w:color="auto"/>
        <w:bottom w:val="none" w:sz="0" w:space="0" w:color="auto"/>
        <w:right w:val="none" w:sz="0" w:space="0" w:color="auto"/>
      </w:divBdr>
    </w:div>
    <w:div w:id="34307419">
      <w:bodyDiv w:val="1"/>
      <w:marLeft w:val="0"/>
      <w:marRight w:val="0"/>
      <w:marTop w:val="0"/>
      <w:marBottom w:val="0"/>
      <w:divBdr>
        <w:top w:val="none" w:sz="0" w:space="0" w:color="auto"/>
        <w:left w:val="none" w:sz="0" w:space="0" w:color="auto"/>
        <w:bottom w:val="none" w:sz="0" w:space="0" w:color="auto"/>
        <w:right w:val="none" w:sz="0" w:space="0" w:color="auto"/>
      </w:divBdr>
    </w:div>
    <w:div w:id="48387629">
      <w:bodyDiv w:val="1"/>
      <w:marLeft w:val="0"/>
      <w:marRight w:val="0"/>
      <w:marTop w:val="0"/>
      <w:marBottom w:val="0"/>
      <w:divBdr>
        <w:top w:val="none" w:sz="0" w:space="0" w:color="auto"/>
        <w:left w:val="none" w:sz="0" w:space="0" w:color="auto"/>
        <w:bottom w:val="none" w:sz="0" w:space="0" w:color="auto"/>
        <w:right w:val="none" w:sz="0" w:space="0" w:color="auto"/>
      </w:divBdr>
    </w:div>
    <w:div w:id="54279914">
      <w:bodyDiv w:val="1"/>
      <w:marLeft w:val="0"/>
      <w:marRight w:val="0"/>
      <w:marTop w:val="0"/>
      <w:marBottom w:val="0"/>
      <w:divBdr>
        <w:top w:val="none" w:sz="0" w:space="0" w:color="auto"/>
        <w:left w:val="none" w:sz="0" w:space="0" w:color="auto"/>
        <w:bottom w:val="none" w:sz="0" w:space="0" w:color="auto"/>
        <w:right w:val="none" w:sz="0" w:space="0" w:color="auto"/>
      </w:divBdr>
    </w:div>
    <w:div w:id="62720309">
      <w:bodyDiv w:val="1"/>
      <w:marLeft w:val="0"/>
      <w:marRight w:val="0"/>
      <w:marTop w:val="0"/>
      <w:marBottom w:val="0"/>
      <w:divBdr>
        <w:top w:val="none" w:sz="0" w:space="0" w:color="auto"/>
        <w:left w:val="none" w:sz="0" w:space="0" w:color="auto"/>
        <w:bottom w:val="none" w:sz="0" w:space="0" w:color="auto"/>
        <w:right w:val="none" w:sz="0" w:space="0" w:color="auto"/>
      </w:divBdr>
    </w:div>
    <w:div w:id="63265664">
      <w:bodyDiv w:val="1"/>
      <w:marLeft w:val="0"/>
      <w:marRight w:val="0"/>
      <w:marTop w:val="0"/>
      <w:marBottom w:val="0"/>
      <w:divBdr>
        <w:top w:val="none" w:sz="0" w:space="0" w:color="auto"/>
        <w:left w:val="none" w:sz="0" w:space="0" w:color="auto"/>
        <w:bottom w:val="none" w:sz="0" w:space="0" w:color="auto"/>
        <w:right w:val="none" w:sz="0" w:space="0" w:color="auto"/>
      </w:divBdr>
    </w:div>
    <w:div w:id="69548893">
      <w:bodyDiv w:val="1"/>
      <w:marLeft w:val="0"/>
      <w:marRight w:val="0"/>
      <w:marTop w:val="0"/>
      <w:marBottom w:val="0"/>
      <w:divBdr>
        <w:top w:val="none" w:sz="0" w:space="0" w:color="auto"/>
        <w:left w:val="none" w:sz="0" w:space="0" w:color="auto"/>
        <w:bottom w:val="none" w:sz="0" w:space="0" w:color="auto"/>
        <w:right w:val="none" w:sz="0" w:space="0" w:color="auto"/>
      </w:divBdr>
    </w:div>
    <w:div w:id="73282039">
      <w:bodyDiv w:val="1"/>
      <w:marLeft w:val="0"/>
      <w:marRight w:val="0"/>
      <w:marTop w:val="0"/>
      <w:marBottom w:val="0"/>
      <w:divBdr>
        <w:top w:val="none" w:sz="0" w:space="0" w:color="auto"/>
        <w:left w:val="none" w:sz="0" w:space="0" w:color="auto"/>
        <w:bottom w:val="none" w:sz="0" w:space="0" w:color="auto"/>
        <w:right w:val="none" w:sz="0" w:space="0" w:color="auto"/>
      </w:divBdr>
    </w:div>
    <w:div w:id="73743590">
      <w:bodyDiv w:val="1"/>
      <w:marLeft w:val="0"/>
      <w:marRight w:val="0"/>
      <w:marTop w:val="0"/>
      <w:marBottom w:val="0"/>
      <w:divBdr>
        <w:top w:val="none" w:sz="0" w:space="0" w:color="auto"/>
        <w:left w:val="none" w:sz="0" w:space="0" w:color="auto"/>
        <w:bottom w:val="none" w:sz="0" w:space="0" w:color="auto"/>
        <w:right w:val="none" w:sz="0" w:space="0" w:color="auto"/>
      </w:divBdr>
    </w:div>
    <w:div w:id="77993185">
      <w:bodyDiv w:val="1"/>
      <w:marLeft w:val="0"/>
      <w:marRight w:val="0"/>
      <w:marTop w:val="0"/>
      <w:marBottom w:val="0"/>
      <w:divBdr>
        <w:top w:val="none" w:sz="0" w:space="0" w:color="auto"/>
        <w:left w:val="none" w:sz="0" w:space="0" w:color="auto"/>
        <w:bottom w:val="none" w:sz="0" w:space="0" w:color="auto"/>
        <w:right w:val="none" w:sz="0" w:space="0" w:color="auto"/>
      </w:divBdr>
    </w:div>
    <w:div w:id="81724584">
      <w:bodyDiv w:val="1"/>
      <w:marLeft w:val="0"/>
      <w:marRight w:val="0"/>
      <w:marTop w:val="0"/>
      <w:marBottom w:val="0"/>
      <w:divBdr>
        <w:top w:val="none" w:sz="0" w:space="0" w:color="auto"/>
        <w:left w:val="none" w:sz="0" w:space="0" w:color="auto"/>
        <w:bottom w:val="none" w:sz="0" w:space="0" w:color="auto"/>
        <w:right w:val="none" w:sz="0" w:space="0" w:color="auto"/>
      </w:divBdr>
    </w:div>
    <w:div w:id="100077098">
      <w:bodyDiv w:val="1"/>
      <w:marLeft w:val="0"/>
      <w:marRight w:val="0"/>
      <w:marTop w:val="0"/>
      <w:marBottom w:val="0"/>
      <w:divBdr>
        <w:top w:val="none" w:sz="0" w:space="0" w:color="auto"/>
        <w:left w:val="none" w:sz="0" w:space="0" w:color="auto"/>
        <w:bottom w:val="none" w:sz="0" w:space="0" w:color="auto"/>
        <w:right w:val="none" w:sz="0" w:space="0" w:color="auto"/>
      </w:divBdr>
    </w:div>
    <w:div w:id="104277101">
      <w:bodyDiv w:val="1"/>
      <w:marLeft w:val="0"/>
      <w:marRight w:val="0"/>
      <w:marTop w:val="0"/>
      <w:marBottom w:val="0"/>
      <w:divBdr>
        <w:top w:val="none" w:sz="0" w:space="0" w:color="auto"/>
        <w:left w:val="none" w:sz="0" w:space="0" w:color="auto"/>
        <w:bottom w:val="none" w:sz="0" w:space="0" w:color="auto"/>
        <w:right w:val="none" w:sz="0" w:space="0" w:color="auto"/>
      </w:divBdr>
    </w:div>
    <w:div w:id="120147257">
      <w:bodyDiv w:val="1"/>
      <w:marLeft w:val="0"/>
      <w:marRight w:val="0"/>
      <w:marTop w:val="0"/>
      <w:marBottom w:val="0"/>
      <w:divBdr>
        <w:top w:val="none" w:sz="0" w:space="0" w:color="auto"/>
        <w:left w:val="none" w:sz="0" w:space="0" w:color="auto"/>
        <w:bottom w:val="none" w:sz="0" w:space="0" w:color="auto"/>
        <w:right w:val="none" w:sz="0" w:space="0" w:color="auto"/>
      </w:divBdr>
    </w:div>
    <w:div w:id="122887140">
      <w:bodyDiv w:val="1"/>
      <w:marLeft w:val="0"/>
      <w:marRight w:val="0"/>
      <w:marTop w:val="0"/>
      <w:marBottom w:val="0"/>
      <w:divBdr>
        <w:top w:val="none" w:sz="0" w:space="0" w:color="auto"/>
        <w:left w:val="none" w:sz="0" w:space="0" w:color="auto"/>
        <w:bottom w:val="none" w:sz="0" w:space="0" w:color="auto"/>
        <w:right w:val="none" w:sz="0" w:space="0" w:color="auto"/>
      </w:divBdr>
    </w:div>
    <w:div w:id="123087262">
      <w:bodyDiv w:val="1"/>
      <w:marLeft w:val="0"/>
      <w:marRight w:val="0"/>
      <w:marTop w:val="0"/>
      <w:marBottom w:val="0"/>
      <w:divBdr>
        <w:top w:val="none" w:sz="0" w:space="0" w:color="auto"/>
        <w:left w:val="none" w:sz="0" w:space="0" w:color="auto"/>
        <w:bottom w:val="none" w:sz="0" w:space="0" w:color="auto"/>
        <w:right w:val="none" w:sz="0" w:space="0" w:color="auto"/>
      </w:divBdr>
    </w:div>
    <w:div w:id="125516658">
      <w:bodyDiv w:val="1"/>
      <w:marLeft w:val="0"/>
      <w:marRight w:val="0"/>
      <w:marTop w:val="0"/>
      <w:marBottom w:val="0"/>
      <w:divBdr>
        <w:top w:val="none" w:sz="0" w:space="0" w:color="auto"/>
        <w:left w:val="none" w:sz="0" w:space="0" w:color="auto"/>
        <w:bottom w:val="none" w:sz="0" w:space="0" w:color="auto"/>
        <w:right w:val="none" w:sz="0" w:space="0" w:color="auto"/>
      </w:divBdr>
    </w:div>
    <w:div w:id="139661606">
      <w:bodyDiv w:val="1"/>
      <w:marLeft w:val="0"/>
      <w:marRight w:val="0"/>
      <w:marTop w:val="0"/>
      <w:marBottom w:val="0"/>
      <w:divBdr>
        <w:top w:val="none" w:sz="0" w:space="0" w:color="auto"/>
        <w:left w:val="none" w:sz="0" w:space="0" w:color="auto"/>
        <w:bottom w:val="none" w:sz="0" w:space="0" w:color="auto"/>
        <w:right w:val="none" w:sz="0" w:space="0" w:color="auto"/>
      </w:divBdr>
    </w:div>
    <w:div w:id="154154533">
      <w:bodyDiv w:val="1"/>
      <w:marLeft w:val="0"/>
      <w:marRight w:val="0"/>
      <w:marTop w:val="0"/>
      <w:marBottom w:val="0"/>
      <w:divBdr>
        <w:top w:val="none" w:sz="0" w:space="0" w:color="auto"/>
        <w:left w:val="none" w:sz="0" w:space="0" w:color="auto"/>
        <w:bottom w:val="none" w:sz="0" w:space="0" w:color="auto"/>
        <w:right w:val="none" w:sz="0" w:space="0" w:color="auto"/>
      </w:divBdr>
    </w:div>
    <w:div w:id="155270801">
      <w:bodyDiv w:val="1"/>
      <w:marLeft w:val="0"/>
      <w:marRight w:val="0"/>
      <w:marTop w:val="0"/>
      <w:marBottom w:val="0"/>
      <w:divBdr>
        <w:top w:val="none" w:sz="0" w:space="0" w:color="auto"/>
        <w:left w:val="none" w:sz="0" w:space="0" w:color="auto"/>
        <w:bottom w:val="none" w:sz="0" w:space="0" w:color="auto"/>
        <w:right w:val="none" w:sz="0" w:space="0" w:color="auto"/>
      </w:divBdr>
    </w:div>
    <w:div w:id="159271667">
      <w:bodyDiv w:val="1"/>
      <w:marLeft w:val="0"/>
      <w:marRight w:val="0"/>
      <w:marTop w:val="0"/>
      <w:marBottom w:val="0"/>
      <w:divBdr>
        <w:top w:val="none" w:sz="0" w:space="0" w:color="auto"/>
        <w:left w:val="none" w:sz="0" w:space="0" w:color="auto"/>
        <w:bottom w:val="none" w:sz="0" w:space="0" w:color="auto"/>
        <w:right w:val="none" w:sz="0" w:space="0" w:color="auto"/>
      </w:divBdr>
    </w:div>
    <w:div w:id="166485159">
      <w:bodyDiv w:val="1"/>
      <w:marLeft w:val="0"/>
      <w:marRight w:val="0"/>
      <w:marTop w:val="0"/>
      <w:marBottom w:val="0"/>
      <w:divBdr>
        <w:top w:val="none" w:sz="0" w:space="0" w:color="auto"/>
        <w:left w:val="none" w:sz="0" w:space="0" w:color="auto"/>
        <w:bottom w:val="none" w:sz="0" w:space="0" w:color="auto"/>
        <w:right w:val="none" w:sz="0" w:space="0" w:color="auto"/>
      </w:divBdr>
    </w:div>
    <w:div w:id="170998916">
      <w:bodyDiv w:val="1"/>
      <w:marLeft w:val="0"/>
      <w:marRight w:val="0"/>
      <w:marTop w:val="0"/>
      <w:marBottom w:val="0"/>
      <w:divBdr>
        <w:top w:val="none" w:sz="0" w:space="0" w:color="auto"/>
        <w:left w:val="none" w:sz="0" w:space="0" w:color="auto"/>
        <w:bottom w:val="none" w:sz="0" w:space="0" w:color="auto"/>
        <w:right w:val="none" w:sz="0" w:space="0" w:color="auto"/>
      </w:divBdr>
    </w:div>
    <w:div w:id="181870009">
      <w:bodyDiv w:val="1"/>
      <w:marLeft w:val="0"/>
      <w:marRight w:val="0"/>
      <w:marTop w:val="0"/>
      <w:marBottom w:val="0"/>
      <w:divBdr>
        <w:top w:val="none" w:sz="0" w:space="0" w:color="auto"/>
        <w:left w:val="none" w:sz="0" w:space="0" w:color="auto"/>
        <w:bottom w:val="none" w:sz="0" w:space="0" w:color="auto"/>
        <w:right w:val="none" w:sz="0" w:space="0" w:color="auto"/>
      </w:divBdr>
    </w:div>
    <w:div w:id="182011587">
      <w:bodyDiv w:val="1"/>
      <w:marLeft w:val="0"/>
      <w:marRight w:val="0"/>
      <w:marTop w:val="0"/>
      <w:marBottom w:val="0"/>
      <w:divBdr>
        <w:top w:val="none" w:sz="0" w:space="0" w:color="auto"/>
        <w:left w:val="none" w:sz="0" w:space="0" w:color="auto"/>
        <w:bottom w:val="none" w:sz="0" w:space="0" w:color="auto"/>
        <w:right w:val="none" w:sz="0" w:space="0" w:color="auto"/>
      </w:divBdr>
    </w:div>
    <w:div w:id="192814533">
      <w:bodyDiv w:val="1"/>
      <w:marLeft w:val="0"/>
      <w:marRight w:val="0"/>
      <w:marTop w:val="0"/>
      <w:marBottom w:val="0"/>
      <w:divBdr>
        <w:top w:val="none" w:sz="0" w:space="0" w:color="auto"/>
        <w:left w:val="none" w:sz="0" w:space="0" w:color="auto"/>
        <w:bottom w:val="none" w:sz="0" w:space="0" w:color="auto"/>
        <w:right w:val="none" w:sz="0" w:space="0" w:color="auto"/>
      </w:divBdr>
    </w:div>
    <w:div w:id="224536517">
      <w:bodyDiv w:val="1"/>
      <w:marLeft w:val="0"/>
      <w:marRight w:val="0"/>
      <w:marTop w:val="0"/>
      <w:marBottom w:val="0"/>
      <w:divBdr>
        <w:top w:val="none" w:sz="0" w:space="0" w:color="auto"/>
        <w:left w:val="none" w:sz="0" w:space="0" w:color="auto"/>
        <w:bottom w:val="none" w:sz="0" w:space="0" w:color="auto"/>
        <w:right w:val="none" w:sz="0" w:space="0" w:color="auto"/>
      </w:divBdr>
    </w:div>
    <w:div w:id="233394583">
      <w:bodyDiv w:val="1"/>
      <w:marLeft w:val="0"/>
      <w:marRight w:val="0"/>
      <w:marTop w:val="0"/>
      <w:marBottom w:val="0"/>
      <w:divBdr>
        <w:top w:val="none" w:sz="0" w:space="0" w:color="auto"/>
        <w:left w:val="none" w:sz="0" w:space="0" w:color="auto"/>
        <w:bottom w:val="none" w:sz="0" w:space="0" w:color="auto"/>
        <w:right w:val="none" w:sz="0" w:space="0" w:color="auto"/>
      </w:divBdr>
    </w:div>
    <w:div w:id="236135913">
      <w:bodyDiv w:val="1"/>
      <w:marLeft w:val="0"/>
      <w:marRight w:val="0"/>
      <w:marTop w:val="0"/>
      <w:marBottom w:val="0"/>
      <w:divBdr>
        <w:top w:val="none" w:sz="0" w:space="0" w:color="auto"/>
        <w:left w:val="none" w:sz="0" w:space="0" w:color="auto"/>
        <w:bottom w:val="none" w:sz="0" w:space="0" w:color="auto"/>
        <w:right w:val="none" w:sz="0" w:space="0" w:color="auto"/>
      </w:divBdr>
    </w:div>
    <w:div w:id="236669027">
      <w:bodyDiv w:val="1"/>
      <w:marLeft w:val="0"/>
      <w:marRight w:val="0"/>
      <w:marTop w:val="0"/>
      <w:marBottom w:val="0"/>
      <w:divBdr>
        <w:top w:val="none" w:sz="0" w:space="0" w:color="auto"/>
        <w:left w:val="none" w:sz="0" w:space="0" w:color="auto"/>
        <w:bottom w:val="none" w:sz="0" w:space="0" w:color="auto"/>
        <w:right w:val="none" w:sz="0" w:space="0" w:color="auto"/>
      </w:divBdr>
    </w:div>
    <w:div w:id="250549491">
      <w:bodyDiv w:val="1"/>
      <w:marLeft w:val="0"/>
      <w:marRight w:val="0"/>
      <w:marTop w:val="0"/>
      <w:marBottom w:val="0"/>
      <w:divBdr>
        <w:top w:val="none" w:sz="0" w:space="0" w:color="auto"/>
        <w:left w:val="none" w:sz="0" w:space="0" w:color="auto"/>
        <w:bottom w:val="none" w:sz="0" w:space="0" w:color="auto"/>
        <w:right w:val="none" w:sz="0" w:space="0" w:color="auto"/>
      </w:divBdr>
    </w:div>
    <w:div w:id="260070450">
      <w:bodyDiv w:val="1"/>
      <w:marLeft w:val="0"/>
      <w:marRight w:val="0"/>
      <w:marTop w:val="0"/>
      <w:marBottom w:val="0"/>
      <w:divBdr>
        <w:top w:val="none" w:sz="0" w:space="0" w:color="auto"/>
        <w:left w:val="none" w:sz="0" w:space="0" w:color="auto"/>
        <w:bottom w:val="none" w:sz="0" w:space="0" w:color="auto"/>
        <w:right w:val="none" w:sz="0" w:space="0" w:color="auto"/>
      </w:divBdr>
    </w:div>
    <w:div w:id="270212022">
      <w:bodyDiv w:val="1"/>
      <w:marLeft w:val="0"/>
      <w:marRight w:val="0"/>
      <w:marTop w:val="0"/>
      <w:marBottom w:val="0"/>
      <w:divBdr>
        <w:top w:val="none" w:sz="0" w:space="0" w:color="auto"/>
        <w:left w:val="none" w:sz="0" w:space="0" w:color="auto"/>
        <w:bottom w:val="none" w:sz="0" w:space="0" w:color="auto"/>
        <w:right w:val="none" w:sz="0" w:space="0" w:color="auto"/>
      </w:divBdr>
    </w:div>
    <w:div w:id="272059454">
      <w:bodyDiv w:val="1"/>
      <w:marLeft w:val="0"/>
      <w:marRight w:val="0"/>
      <w:marTop w:val="0"/>
      <w:marBottom w:val="0"/>
      <w:divBdr>
        <w:top w:val="none" w:sz="0" w:space="0" w:color="auto"/>
        <w:left w:val="none" w:sz="0" w:space="0" w:color="auto"/>
        <w:bottom w:val="none" w:sz="0" w:space="0" w:color="auto"/>
        <w:right w:val="none" w:sz="0" w:space="0" w:color="auto"/>
      </w:divBdr>
    </w:div>
    <w:div w:id="283971313">
      <w:bodyDiv w:val="1"/>
      <w:marLeft w:val="0"/>
      <w:marRight w:val="0"/>
      <w:marTop w:val="0"/>
      <w:marBottom w:val="0"/>
      <w:divBdr>
        <w:top w:val="none" w:sz="0" w:space="0" w:color="auto"/>
        <w:left w:val="none" w:sz="0" w:space="0" w:color="auto"/>
        <w:bottom w:val="none" w:sz="0" w:space="0" w:color="auto"/>
        <w:right w:val="none" w:sz="0" w:space="0" w:color="auto"/>
      </w:divBdr>
    </w:div>
    <w:div w:id="286815016">
      <w:bodyDiv w:val="1"/>
      <w:marLeft w:val="0"/>
      <w:marRight w:val="0"/>
      <w:marTop w:val="0"/>
      <w:marBottom w:val="0"/>
      <w:divBdr>
        <w:top w:val="none" w:sz="0" w:space="0" w:color="auto"/>
        <w:left w:val="none" w:sz="0" w:space="0" w:color="auto"/>
        <w:bottom w:val="none" w:sz="0" w:space="0" w:color="auto"/>
        <w:right w:val="none" w:sz="0" w:space="0" w:color="auto"/>
      </w:divBdr>
    </w:div>
    <w:div w:id="287318497">
      <w:bodyDiv w:val="1"/>
      <w:marLeft w:val="0"/>
      <w:marRight w:val="0"/>
      <w:marTop w:val="0"/>
      <w:marBottom w:val="0"/>
      <w:divBdr>
        <w:top w:val="none" w:sz="0" w:space="0" w:color="auto"/>
        <w:left w:val="none" w:sz="0" w:space="0" w:color="auto"/>
        <w:bottom w:val="none" w:sz="0" w:space="0" w:color="auto"/>
        <w:right w:val="none" w:sz="0" w:space="0" w:color="auto"/>
      </w:divBdr>
    </w:div>
    <w:div w:id="288366468">
      <w:bodyDiv w:val="1"/>
      <w:marLeft w:val="0"/>
      <w:marRight w:val="0"/>
      <w:marTop w:val="0"/>
      <w:marBottom w:val="0"/>
      <w:divBdr>
        <w:top w:val="none" w:sz="0" w:space="0" w:color="auto"/>
        <w:left w:val="none" w:sz="0" w:space="0" w:color="auto"/>
        <w:bottom w:val="none" w:sz="0" w:space="0" w:color="auto"/>
        <w:right w:val="none" w:sz="0" w:space="0" w:color="auto"/>
      </w:divBdr>
    </w:div>
    <w:div w:id="291983369">
      <w:bodyDiv w:val="1"/>
      <w:marLeft w:val="0"/>
      <w:marRight w:val="0"/>
      <w:marTop w:val="0"/>
      <w:marBottom w:val="0"/>
      <w:divBdr>
        <w:top w:val="none" w:sz="0" w:space="0" w:color="auto"/>
        <w:left w:val="none" w:sz="0" w:space="0" w:color="auto"/>
        <w:bottom w:val="none" w:sz="0" w:space="0" w:color="auto"/>
        <w:right w:val="none" w:sz="0" w:space="0" w:color="auto"/>
      </w:divBdr>
    </w:div>
    <w:div w:id="293562770">
      <w:bodyDiv w:val="1"/>
      <w:marLeft w:val="0"/>
      <w:marRight w:val="0"/>
      <w:marTop w:val="0"/>
      <w:marBottom w:val="0"/>
      <w:divBdr>
        <w:top w:val="none" w:sz="0" w:space="0" w:color="auto"/>
        <w:left w:val="none" w:sz="0" w:space="0" w:color="auto"/>
        <w:bottom w:val="none" w:sz="0" w:space="0" w:color="auto"/>
        <w:right w:val="none" w:sz="0" w:space="0" w:color="auto"/>
      </w:divBdr>
    </w:div>
    <w:div w:id="295139211">
      <w:bodyDiv w:val="1"/>
      <w:marLeft w:val="0"/>
      <w:marRight w:val="0"/>
      <w:marTop w:val="0"/>
      <w:marBottom w:val="0"/>
      <w:divBdr>
        <w:top w:val="none" w:sz="0" w:space="0" w:color="auto"/>
        <w:left w:val="none" w:sz="0" w:space="0" w:color="auto"/>
        <w:bottom w:val="none" w:sz="0" w:space="0" w:color="auto"/>
        <w:right w:val="none" w:sz="0" w:space="0" w:color="auto"/>
      </w:divBdr>
    </w:div>
    <w:div w:id="295182425">
      <w:bodyDiv w:val="1"/>
      <w:marLeft w:val="0"/>
      <w:marRight w:val="0"/>
      <w:marTop w:val="0"/>
      <w:marBottom w:val="0"/>
      <w:divBdr>
        <w:top w:val="none" w:sz="0" w:space="0" w:color="auto"/>
        <w:left w:val="none" w:sz="0" w:space="0" w:color="auto"/>
        <w:bottom w:val="none" w:sz="0" w:space="0" w:color="auto"/>
        <w:right w:val="none" w:sz="0" w:space="0" w:color="auto"/>
      </w:divBdr>
    </w:div>
    <w:div w:id="297616937">
      <w:bodyDiv w:val="1"/>
      <w:marLeft w:val="0"/>
      <w:marRight w:val="0"/>
      <w:marTop w:val="0"/>
      <w:marBottom w:val="0"/>
      <w:divBdr>
        <w:top w:val="none" w:sz="0" w:space="0" w:color="auto"/>
        <w:left w:val="none" w:sz="0" w:space="0" w:color="auto"/>
        <w:bottom w:val="none" w:sz="0" w:space="0" w:color="auto"/>
        <w:right w:val="none" w:sz="0" w:space="0" w:color="auto"/>
      </w:divBdr>
    </w:div>
    <w:div w:id="304355623">
      <w:bodyDiv w:val="1"/>
      <w:marLeft w:val="0"/>
      <w:marRight w:val="0"/>
      <w:marTop w:val="0"/>
      <w:marBottom w:val="0"/>
      <w:divBdr>
        <w:top w:val="none" w:sz="0" w:space="0" w:color="auto"/>
        <w:left w:val="none" w:sz="0" w:space="0" w:color="auto"/>
        <w:bottom w:val="none" w:sz="0" w:space="0" w:color="auto"/>
        <w:right w:val="none" w:sz="0" w:space="0" w:color="auto"/>
      </w:divBdr>
    </w:div>
    <w:div w:id="306513824">
      <w:bodyDiv w:val="1"/>
      <w:marLeft w:val="0"/>
      <w:marRight w:val="0"/>
      <w:marTop w:val="0"/>
      <w:marBottom w:val="0"/>
      <w:divBdr>
        <w:top w:val="none" w:sz="0" w:space="0" w:color="auto"/>
        <w:left w:val="none" w:sz="0" w:space="0" w:color="auto"/>
        <w:bottom w:val="none" w:sz="0" w:space="0" w:color="auto"/>
        <w:right w:val="none" w:sz="0" w:space="0" w:color="auto"/>
      </w:divBdr>
    </w:div>
    <w:div w:id="307175204">
      <w:bodyDiv w:val="1"/>
      <w:marLeft w:val="0"/>
      <w:marRight w:val="0"/>
      <w:marTop w:val="0"/>
      <w:marBottom w:val="0"/>
      <w:divBdr>
        <w:top w:val="none" w:sz="0" w:space="0" w:color="auto"/>
        <w:left w:val="none" w:sz="0" w:space="0" w:color="auto"/>
        <w:bottom w:val="none" w:sz="0" w:space="0" w:color="auto"/>
        <w:right w:val="none" w:sz="0" w:space="0" w:color="auto"/>
      </w:divBdr>
    </w:div>
    <w:div w:id="307512317">
      <w:bodyDiv w:val="1"/>
      <w:marLeft w:val="0"/>
      <w:marRight w:val="0"/>
      <w:marTop w:val="0"/>
      <w:marBottom w:val="0"/>
      <w:divBdr>
        <w:top w:val="none" w:sz="0" w:space="0" w:color="auto"/>
        <w:left w:val="none" w:sz="0" w:space="0" w:color="auto"/>
        <w:bottom w:val="none" w:sz="0" w:space="0" w:color="auto"/>
        <w:right w:val="none" w:sz="0" w:space="0" w:color="auto"/>
      </w:divBdr>
    </w:div>
    <w:div w:id="312878504">
      <w:bodyDiv w:val="1"/>
      <w:marLeft w:val="0"/>
      <w:marRight w:val="0"/>
      <w:marTop w:val="0"/>
      <w:marBottom w:val="0"/>
      <w:divBdr>
        <w:top w:val="none" w:sz="0" w:space="0" w:color="auto"/>
        <w:left w:val="none" w:sz="0" w:space="0" w:color="auto"/>
        <w:bottom w:val="none" w:sz="0" w:space="0" w:color="auto"/>
        <w:right w:val="none" w:sz="0" w:space="0" w:color="auto"/>
      </w:divBdr>
    </w:div>
    <w:div w:id="321278437">
      <w:bodyDiv w:val="1"/>
      <w:marLeft w:val="0"/>
      <w:marRight w:val="0"/>
      <w:marTop w:val="0"/>
      <w:marBottom w:val="0"/>
      <w:divBdr>
        <w:top w:val="none" w:sz="0" w:space="0" w:color="auto"/>
        <w:left w:val="none" w:sz="0" w:space="0" w:color="auto"/>
        <w:bottom w:val="none" w:sz="0" w:space="0" w:color="auto"/>
        <w:right w:val="none" w:sz="0" w:space="0" w:color="auto"/>
      </w:divBdr>
    </w:div>
    <w:div w:id="322126597">
      <w:bodyDiv w:val="1"/>
      <w:marLeft w:val="0"/>
      <w:marRight w:val="0"/>
      <w:marTop w:val="0"/>
      <w:marBottom w:val="0"/>
      <w:divBdr>
        <w:top w:val="none" w:sz="0" w:space="0" w:color="auto"/>
        <w:left w:val="none" w:sz="0" w:space="0" w:color="auto"/>
        <w:bottom w:val="none" w:sz="0" w:space="0" w:color="auto"/>
        <w:right w:val="none" w:sz="0" w:space="0" w:color="auto"/>
      </w:divBdr>
    </w:div>
    <w:div w:id="330455306">
      <w:bodyDiv w:val="1"/>
      <w:marLeft w:val="0"/>
      <w:marRight w:val="0"/>
      <w:marTop w:val="0"/>
      <w:marBottom w:val="0"/>
      <w:divBdr>
        <w:top w:val="none" w:sz="0" w:space="0" w:color="auto"/>
        <w:left w:val="none" w:sz="0" w:space="0" w:color="auto"/>
        <w:bottom w:val="none" w:sz="0" w:space="0" w:color="auto"/>
        <w:right w:val="none" w:sz="0" w:space="0" w:color="auto"/>
      </w:divBdr>
    </w:div>
    <w:div w:id="333147279">
      <w:bodyDiv w:val="1"/>
      <w:marLeft w:val="0"/>
      <w:marRight w:val="0"/>
      <w:marTop w:val="0"/>
      <w:marBottom w:val="0"/>
      <w:divBdr>
        <w:top w:val="none" w:sz="0" w:space="0" w:color="auto"/>
        <w:left w:val="none" w:sz="0" w:space="0" w:color="auto"/>
        <w:bottom w:val="none" w:sz="0" w:space="0" w:color="auto"/>
        <w:right w:val="none" w:sz="0" w:space="0" w:color="auto"/>
      </w:divBdr>
    </w:div>
    <w:div w:id="334303826">
      <w:bodyDiv w:val="1"/>
      <w:marLeft w:val="0"/>
      <w:marRight w:val="0"/>
      <w:marTop w:val="0"/>
      <w:marBottom w:val="0"/>
      <w:divBdr>
        <w:top w:val="none" w:sz="0" w:space="0" w:color="auto"/>
        <w:left w:val="none" w:sz="0" w:space="0" w:color="auto"/>
        <w:bottom w:val="none" w:sz="0" w:space="0" w:color="auto"/>
        <w:right w:val="none" w:sz="0" w:space="0" w:color="auto"/>
      </w:divBdr>
    </w:div>
    <w:div w:id="335500998">
      <w:bodyDiv w:val="1"/>
      <w:marLeft w:val="0"/>
      <w:marRight w:val="0"/>
      <w:marTop w:val="0"/>
      <w:marBottom w:val="0"/>
      <w:divBdr>
        <w:top w:val="none" w:sz="0" w:space="0" w:color="auto"/>
        <w:left w:val="none" w:sz="0" w:space="0" w:color="auto"/>
        <w:bottom w:val="none" w:sz="0" w:space="0" w:color="auto"/>
        <w:right w:val="none" w:sz="0" w:space="0" w:color="auto"/>
      </w:divBdr>
    </w:div>
    <w:div w:id="348484460">
      <w:bodyDiv w:val="1"/>
      <w:marLeft w:val="0"/>
      <w:marRight w:val="0"/>
      <w:marTop w:val="0"/>
      <w:marBottom w:val="0"/>
      <w:divBdr>
        <w:top w:val="none" w:sz="0" w:space="0" w:color="auto"/>
        <w:left w:val="none" w:sz="0" w:space="0" w:color="auto"/>
        <w:bottom w:val="none" w:sz="0" w:space="0" w:color="auto"/>
        <w:right w:val="none" w:sz="0" w:space="0" w:color="auto"/>
      </w:divBdr>
    </w:div>
    <w:div w:id="358966955">
      <w:bodyDiv w:val="1"/>
      <w:marLeft w:val="0"/>
      <w:marRight w:val="0"/>
      <w:marTop w:val="0"/>
      <w:marBottom w:val="0"/>
      <w:divBdr>
        <w:top w:val="none" w:sz="0" w:space="0" w:color="auto"/>
        <w:left w:val="none" w:sz="0" w:space="0" w:color="auto"/>
        <w:bottom w:val="none" w:sz="0" w:space="0" w:color="auto"/>
        <w:right w:val="none" w:sz="0" w:space="0" w:color="auto"/>
      </w:divBdr>
    </w:div>
    <w:div w:id="369889647">
      <w:bodyDiv w:val="1"/>
      <w:marLeft w:val="0"/>
      <w:marRight w:val="0"/>
      <w:marTop w:val="0"/>
      <w:marBottom w:val="0"/>
      <w:divBdr>
        <w:top w:val="none" w:sz="0" w:space="0" w:color="auto"/>
        <w:left w:val="none" w:sz="0" w:space="0" w:color="auto"/>
        <w:bottom w:val="none" w:sz="0" w:space="0" w:color="auto"/>
        <w:right w:val="none" w:sz="0" w:space="0" w:color="auto"/>
      </w:divBdr>
    </w:div>
    <w:div w:id="370689322">
      <w:bodyDiv w:val="1"/>
      <w:marLeft w:val="0"/>
      <w:marRight w:val="0"/>
      <w:marTop w:val="0"/>
      <w:marBottom w:val="0"/>
      <w:divBdr>
        <w:top w:val="none" w:sz="0" w:space="0" w:color="auto"/>
        <w:left w:val="none" w:sz="0" w:space="0" w:color="auto"/>
        <w:bottom w:val="none" w:sz="0" w:space="0" w:color="auto"/>
        <w:right w:val="none" w:sz="0" w:space="0" w:color="auto"/>
      </w:divBdr>
    </w:div>
    <w:div w:id="370766020">
      <w:bodyDiv w:val="1"/>
      <w:marLeft w:val="0"/>
      <w:marRight w:val="0"/>
      <w:marTop w:val="0"/>
      <w:marBottom w:val="0"/>
      <w:divBdr>
        <w:top w:val="none" w:sz="0" w:space="0" w:color="auto"/>
        <w:left w:val="none" w:sz="0" w:space="0" w:color="auto"/>
        <w:bottom w:val="none" w:sz="0" w:space="0" w:color="auto"/>
        <w:right w:val="none" w:sz="0" w:space="0" w:color="auto"/>
      </w:divBdr>
    </w:div>
    <w:div w:id="373502269">
      <w:bodyDiv w:val="1"/>
      <w:marLeft w:val="0"/>
      <w:marRight w:val="0"/>
      <w:marTop w:val="0"/>
      <w:marBottom w:val="0"/>
      <w:divBdr>
        <w:top w:val="none" w:sz="0" w:space="0" w:color="auto"/>
        <w:left w:val="none" w:sz="0" w:space="0" w:color="auto"/>
        <w:bottom w:val="none" w:sz="0" w:space="0" w:color="auto"/>
        <w:right w:val="none" w:sz="0" w:space="0" w:color="auto"/>
      </w:divBdr>
    </w:div>
    <w:div w:id="376007335">
      <w:bodyDiv w:val="1"/>
      <w:marLeft w:val="0"/>
      <w:marRight w:val="0"/>
      <w:marTop w:val="0"/>
      <w:marBottom w:val="0"/>
      <w:divBdr>
        <w:top w:val="none" w:sz="0" w:space="0" w:color="auto"/>
        <w:left w:val="none" w:sz="0" w:space="0" w:color="auto"/>
        <w:bottom w:val="none" w:sz="0" w:space="0" w:color="auto"/>
        <w:right w:val="none" w:sz="0" w:space="0" w:color="auto"/>
      </w:divBdr>
    </w:div>
    <w:div w:id="376390667">
      <w:bodyDiv w:val="1"/>
      <w:marLeft w:val="0"/>
      <w:marRight w:val="0"/>
      <w:marTop w:val="0"/>
      <w:marBottom w:val="0"/>
      <w:divBdr>
        <w:top w:val="none" w:sz="0" w:space="0" w:color="auto"/>
        <w:left w:val="none" w:sz="0" w:space="0" w:color="auto"/>
        <w:bottom w:val="none" w:sz="0" w:space="0" w:color="auto"/>
        <w:right w:val="none" w:sz="0" w:space="0" w:color="auto"/>
      </w:divBdr>
    </w:div>
    <w:div w:id="378356065">
      <w:bodyDiv w:val="1"/>
      <w:marLeft w:val="0"/>
      <w:marRight w:val="0"/>
      <w:marTop w:val="0"/>
      <w:marBottom w:val="0"/>
      <w:divBdr>
        <w:top w:val="none" w:sz="0" w:space="0" w:color="auto"/>
        <w:left w:val="none" w:sz="0" w:space="0" w:color="auto"/>
        <w:bottom w:val="none" w:sz="0" w:space="0" w:color="auto"/>
        <w:right w:val="none" w:sz="0" w:space="0" w:color="auto"/>
      </w:divBdr>
    </w:div>
    <w:div w:id="403723767">
      <w:bodyDiv w:val="1"/>
      <w:marLeft w:val="0"/>
      <w:marRight w:val="0"/>
      <w:marTop w:val="0"/>
      <w:marBottom w:val="0"/>
      <w:divBdr>
        <w:top w:val="none" w:sz="0" w:space="0" w:color="auto"/>
        <w:left w:val="none" w:sz="0" w:space="0" w:color="auto"/>
        <w:bottom w:val="none" w:sz="0" w:space="0" w:color="auto"/>
        <w:right w:val="none" w:sz="0" w:space="0" w:color="auto"/>
      </w:divBdr>
    </w:div>
    <w:div w:id="404111134">
      <w:bodyDiv w:val="1"/>
      <w:marLeft w:val="0"/>
      <w:marRight w:val="0"/>
      <w:marTop w:val="0"/>
      <w:marBottom w:val="0"/>
      <w:divBdr>
        <w:top w:val="none" w:sz="0" w:space="0" w:color="auto"/>
        <w:left w:val="none" w:sz="0" w:space="0" w:color="auto"/>
        <w:bottom w:val="none" w:sz="0" w:space="0" w:color="auto"/>
        <w:right w:val="none" w:sz="0" w:space="0" w:color="auto"/>
      </w:divBdr>
    </w:div>
    <w:div w:id="406192953">
      <w:bodyDiv w:val="1"/>
      <w:marLeft w:val="0"/>
      <w:marRight w:val="0"/>
      <w:marTop w:val="0"/>
      <w:marBottom w:val="0"/>
      <w:divBdr>
        <w:top w:val="none" w:sz="0" w:space="0" w:color="auto"/>
        <w:left w:val="none" w:sz="0" w:space="0" w:color="auto"/>
        <w:bottom w:val="none" w:sz="0" w:space="0" w:color="auto"/>
        <w:right w:val="none" w:sz="0" w:space="0" w:color="auto"/>
      </w:divBdr>
    </w:div>
    <w:div w:id="406196017">
      <w:bodyDiv w:val="1"/>
      <w:marLeft w:val="0"/>
      <w:marRight w:val="0"/>
      <w:marTop w:val="0"/>
      <w:marBottom w:val="0"/>
      <w:divBdr>
        <w:top w:val="none" w:sz="0" w:space="0" w:color="auto"/>
        <w:left w:val="none" w:sz="0" w:space="0" w:color="auto"/>
        <w:bottom w:val="none" w:sz="0" w:space="0" w:color="auto"/>
        <w:right w:val="none" w:sz="0" w:space="0" w:color="auto"/>
      </w:divBdr>
    </w:div>
    <w:div w:id="447091140">
      <w:bodyDiv w:val="1"/>
      <w:marLeft w:val="0"/>
      <w:marRight w:val="0"/>
      <w:marTop w:val="0"/>
      <w:marBottom w:val="0"/>
      <w:divBdr>
        <w:top w:val="none" w:sz="0" w:space="0" w:color="auto"/>
        <w:left w:val="none" w:sz="0" w:space="0" w:color="auto"/>
        <w:bottom w:val="none" w:sz="0" w:space="0" w:color="auto"/>
        <w:right w:val="none" w:sz="0" w:space="0" w:color="auto"/>
      </w:divBdr>
    </w:div>
    <w:div w:id="450711042">
      <w:bodyDiv w:val="1"/>
      <w:marLeft w:val="0"/>
      <w:marRight w:val="0"/>
      <w:marTop w:val="0"/>
      <w:marBottom w:val="0"/>
      <w:divBdr>
        <w:top w:val="none" w:sz="0" w:space="0" w:color="auto"/>
        <w:left w:val="none" w:sz="0" w:space="0" w:color="auto"/>
        <w:bottom w:val="none" w:sz="0" w:space="0" w:color="auto"/>
        <w:right w:val="none" w:sz="0" w:space="0" w:color="auto"/>
      </w:divBdr>
    </w:div>
    <w:div w:id="454063038">
      <w:bodyDiv w:val="1"/>
      <w:marLeft w:val="0"/>
      <w:marRight w:val="0"/>
      <w:marTop w:val="0"/>
      <w:marBottom w:val="0"/>
      <w:divBdr>
        <w:top w:val="none" w:sz="0" w:space="0" w:color="auto"/>
        <w:left w:val="none" w:sz="0" w:space="0" w:color="auto"/>
        <w:bottom w:val="none" w:sz="0" w:space="0" w:color="auto"/>
        <w:right w:val="none" w:sz="0" w:space="0" w:color="auto"/>
      </w:divBdr>
    </w:div>
    <w:div w:id="461312801">
      <w:bodyDiv w:val="1"/>
      <w:marLeft w:val="0"/>
      <w:marRight w:val="0"/>
      <w:marTop w:val="0"/>
      <w:marBottom w:val="0"/>
      <w:divBdr>
        <w:top w:val="none" w:sz="0" w:space="0" w:color="auto"/>
        <w:left w:val="none" w:sz="0" w:space="0" w:color="auto"/>
        <w:bottom w:val="none" w:sz="0" w:space="0" w:color="auto"/>
        <w:right w:val="none" w:sz="0" w:space="0" w:color="auto"/>
      </w:divBdr>
    </w:div>
    <w:div w:id="468285407">
      <w:bodyDiv w:val="1"/>
      <w:marLeft w:val="0"/>
      <w:marRight w:val="0"/>
      <w:marTop w:val="0"/>
      <w:marBottom w:val="0"/>
      <w:divBdr>
        <w:top w:val="none" w:sz="0" w:space="0" w:color="auto"/>
        <w:left w:val="none" w:sz="0" w:space="0" w:color="auto"/>
        <w:bottom w:val="none" w:sz="0" w:space="0" w:color="auto"/>
        <w:right w:val="none" w:sz="0" w:space="0" w:color="auto"/>
      </w:divBdr>
    </w:div>
    <w:div w:id="477111491">
      <w:bodyDiv w:val="1"/>
      <w:marLeft w:val="0"/>
      <w:marRight w:val="0"/>
      <w:marTop w:val="0"/>
      <w:marBottom w:val="0"/>
      <w:divBdr>
        <w:top w:val="none" w:sz="0" w:space="0" w:color="auto"/>
        <w:left w:val="none" w:sz="0" w:space="0" w:color="auto"/>
        <w:bottom w:val="none" w:sz="0" w:space="0" w:color="auto"/>
        <w:right w:val="none" w:sz="0" w:space="0" w:color="auto"/>
      </w:divBdr>
    </w:div>
    <w:div w:id="478310196">
      <w:bodyDiv w:val="1"/>
      <w:marLeft w:val="0"/>
      <w:marRight w:val="0"/>
      <w:marTop w:val="0"/>
      <w:marBottom w:val="0"/>
      <w:divBdr>
        <w:top w:val="none" w:sz="0" w:space="0" w:color="auto"/>
        <w:left w:val="none" w:sz="0" w:space="0" w:color="auto"/>
        <w:bottom w:val="none" w:sz="0" w:space="0" w:color="auto"/>
        <w:right w:val="none" w:sz="0" w:space="0" w:color="auto"/>
      </w:divBdr>
    </w:div>
    <w:div w:id="491601595">
      <w:bodyDiv w:val="1"/>
      <w:marLeft w:val="0"/>
      <w:marRight w:val="0"/>
      <w:marTop w:val="0"/>
      <w:marBottom w:val="0"/>
      <w:divBdr>
        <w:top w:val="none" w:sz="0" w:space="0" w:color="auto"/>
        <w:left w:val="none" w:sz="0" w:space="0" w:color="auto"/>
        <w:bottom w:val="none" w:sz="0" w:space="0" w:color="auto"/>
        <w:right w:val="none" w:sz="0" w:space="0" w:color="auto"/>
      </w:divBdr>
    </w:div>
    <w:div w:id="496457037">
      <w:bodyDiv w:val="1"/>
      <w:marLeft w:val="0"/>
      <w:marRight w:val="0"/>
      <w:marTop w:val="0"/>
      <w:marBottom w:val="0"/>
      <w:divBdr>
        <w:top w:val="none" w:sz="0" w:space="0" w:color="auto"/>
        <w:left w:val="none" w:sz="0" w:space="0" w:color="auto"/>
        <w:bottom w:val="none" w:sz="0" w:space="0" w:color="auto"/>
        <w:right w:val="none" w:sz="0" w:space="0" w:color="auto"/>
      </w:divBdr>
    </w:div>
    <w:div w:id="497310204">
      <w:bodyDiv w:val="1"/>
      <w:marLeft w:val="0"/>
      <w:marRight w:val="0"/>
      <w:marTop w:val="0"/>
      <w:marBottom w:val="0"/>
      <w:divBdr>
        <w:top w:val="none" w:sz="0" w:space="0" w:color="auto"/>
        <w:left w:val="none" w:sz="0" w:space="0" w:color="auto"/>
        <w:bottom w:val="none" w:sz="0" w:space="0" w:color="auto"/>
        <w:right w:val="none" w:sz="0" w:space="0" w:color="auto"/>
      </w:divBdr>
    </w:div>
    <w:div w:id="501317194">
      <w:bodyDiv w:val="1"/>
      <w:marLeft w:val="0"/>
      <w:marRight w:val="0"/>
      <w:marTop w:val="0"/>
      <w:marBottom w:val="0"/>
      <w:divBdr>
        <w:top w:val="none" w:sz="0" w:space="0" w:color="auto"/>
        <w:left w:val="none" w:sz="0" w:space="0" w:color="auto"/>
        <w:bottom w:val="none" w:sz="0" w:space="0" w:color="auto"/>
        <w:right w:val="none" w:sz="0" w:space="0" w:color="auto"/>
      </w:divBdr>
    </w:div>
    <w:div w:id="504445438">
      <w:bodyDiv w:val="1"/>
      <w:marLeft w:val="0"/>
      <w:marRight w:val="0"/>
      <w:marTop w:val="0"/>
      <w:marBottom w:val="0"/>
      <w:divBdr>
        <w:top w:val="none" w:sz="0" w:space="0" w:color="auto"/>
        <w:left w:val="none" w:sz="0" w:space="0" w:color="auto"/>
        <w:bottom w:val="none" w:sz="0" w:space="0" w:color="auto"/>
        <w:right w:val="none" w:sz="0" w:space="0" w:color="auto"/>
      </w:divBdr>
    </w:div>
    <w:div w:id="512499389">
      <w:bodyDiv w:val="1"/>
      <w:marLeft w:val="0"/>
      <w:marRight w:val="0"/>
      <w:marTop w:val="0"/>
      <w:marBottom w:val="0"/>
      <w:divBdr>
        <w:top w:val="none" w:sz="0" w:space="0" w:color="auto"/>
        <w:left w:val="none" w:sz="0" w:space="0" w:color="auto"/>
        <w:bottom w:val="none" w:sz="0" w:space="0" w:color="auto"/>
        <w:right w:val="none" w:sz="0" w:space="0" w:color="auto"/>
      </w:divBdr>
    </w:div>
    <w:div w:id="513693679">
      <w:bodyDiv w:val="1"/>
      <w:marLeft w:val="0"/>
      <w:marRight w:val="0"/>
      <w:marTop w:val="0"/>
      <w:marBottom w:val="0"/>
      <w:divBdr>
        <w:top w:val="none" w:sz="0" w:space="0" w:color="auto"/>
        <w:left w:val="none" w:sz="0" w:space="0" w:color="auto"/>
        <w:bottom w:val="none" w:sz="0" w:space="0" w:color="auto"/>
        <w:right w:val="none" w:sz="0" w:space="0" w:color="auto"/>
      </w:divBdr>
    </w:div>
    <w:div w:id="520169752">
      <w:bodyDiv w:val="1"/>
      <w:marLeft w:val="0"/>
      <w:marRight w:val="0"/>
      <w:marTop w:val="0"/>
      <w:marBottom w:val="0"/>
      <w:divBdr>
        <w:top w:val="none" w:sz="0" w:space="0" w:color="auto"/>
        <w:left w:val="none" w:sz="0" w:space="0" w:color="auto"/>
        <w:bottom w:val="none" w:sz="0" w:space="0" w:color="auto"/>
        <w:right w:val="none" w:sz="0" w:space="0" w:color="auto"/>
      </w:divBdr>
      <w:divsChild>
        <w:div w:id="458307488">
          <w:marLeft w:val="0"/>
          <w:marRight w:val="0"/>
          <w:marTop w:val="0"/>
          <w:marBottom w:val="0"/>
          <w:divBdr>
            <w:top w:val="none" w:sz="0" w:space="0" w:color="auto"/>
            <w:left w:val="none" w:sz="0" w:space="0" w:color="auto"/>
            <w:bottom w:val="none" w:sz="0" w:space="0" w:color="auto"/>
            <w:right w:val="none" w:sz="0" w:space="0" w:color="auto"/>
          </w:divBdr>
        </w:div>
      </w:divsChild>
    </w:div>
    <w:div w:id="521095472">
      <w:bodyDiv w:val="1"/>
      <w:marLeft w:val="0"/>
      <w:marRight w:val="0"/>
      <w:marTop w:val="0"/>
      <w:marBottom w:val="0"/>
      <w:divBdr>
        <w:top w:val="none" w:sz="0" w:space="0" w:color="auto"/>
        <w:left w:val="none" w:sz="0" w:space="0" w:color="auto"/>
        <w:bottom w:val="none" w:sz="0" w:space="0" w:color="auto"/>
        <w:right w:val="none" w:sz="0" w:space="0" w:color="auto"/>
      </w:divBdr>
    </w:div>
    <w:div w:id="522863282">
      <w:bodyDiv w:val="1"/>
      <w:marLeft w:val="0"/>
      <w:marRight w:val="0"/>
      <w:marTop w:val="0"/>
      <w:marBottom w:val="0"/>
      <w:divBdr>
        <w:top w:val="none" w:sz="0" w:space="0" w:color="auto"/>
        <w:left w:val="none" w:sz="0" w:space="0" w:color="auto"/>
        <w:bottom w:val="none" w:sz="0" w:space="0" w:color="auto"/>
        <w:right w:val="none" w:sz="0" w:space="0" w:color="auto"/>
      </w:divBdr>
    </w:div>
    <w:div w:id="526912250">
      <w:bodyDiv w:val="1"/>
      <w:marLeft w:val="0"/>
      <w:marRight w:val="0"/>
      <w:marTop w:val="0"/>
      <w:marBottom w:val="0"/>
      <w:divBdr>
        <w:top w:val="none" w:sz="0" w:space="0" w:color="auto"/>
        <w:left w:val="none" w:sz="0" w:space="0" w:color="auto"/>
        <w:bottom w:val="none" w:sz="0" w:space="0" w:color="auto"/>
        <w:right w:val="none" w:sz="0" w:space="0" w:color="auto"/>
      </w:divBdr>
    </w:div>
    <w:div w:id="538670229">
      <w:bodyDiv w:val="1"/>
      <w:marLeft w:val="0"/>
      <w:marRight w:val="0"/>
      <w:marTop w:val="0"/>
      <w:marBottom w:val="0"/>
      <w:divBdr>
        <w:top w:val="none" w:sz="0" w:space="0" w:color="auto"/>
        <w:left w:val="none" w:sz="0" w:space="0" w:color="auto"/>
        <w:bottom w:val="none" w:sz="0" w:space="0" w:color="auto"/>
        <w:right w:val="none" w:sz="0" w:space="0" w:color="auto"/>
      </w:divBdr>
    </w:div>
    <w:div w:id="542211252">
      <w:bodyDiv w:val="1"/>
      <w:marLeft w:val="0"/>
      <w:marRight w:val="0"/>
      <w:marTop w:val="0"/>
      <w:marBottom w:val="0"/>
      <w:divBdr>
        <w:top w:val="none" w:sz="0" w:space="0" w:color="auto"/>
        <w:left w:val="none" w:sz="0" w:space="0" w:color="auto"/>
        <w:bottom w:val="none" w:sz="0" w:space="0" w:color="auto"/>
        <w:right w:val="none" w:sz="0" w:space="0" w:color="auto"/>
      </w:divBdr>
    </w:div>
    <w:div w:id="542399749">
      <w:bodyDiv w:val="1"/>
      <w:marLeft w:val="0"/>
      <w:marRight w:val="0"/>
      <w:marTop w:val="0"/>
      <w:marBottom w:val="0"/>
      <w:divBdr>
        <w:top w:val="none" w:sz="0" w:space="0" w:color="auto"/>
        <w:left w:val="none" w:sz="0" w:space="0" w:color="auto"/>
        <w:bottom w:val="none" w:sz="0" w:space="0" w:color="auto"/>
        <w:right w:val="none" w:sz="0" w:space="0" w:color="auto"/>
      </w:divBdr>
    </w:div>
    <w:div w:id="548418236">
      <w:bodyDiv w:val="1"/>
      <w:marLeft w:val="0"/>
      <w:marRight w:val="0"/>
      <w:marTop w:val="0"/>
      <w:marBottom w:val="0"/>
      <w:divBdr>
        <w:top w:val="none" w:sz="0" w:space="0" w:color="auto"/>
        <w:left w:val="none" w:sz="0" w:space="0" w:color="auto"/>
        <w:bottom w:val="none" w:sz="0" w:space="0" w:color="auto"/>
        <w:right w:val="none" w:sz="0" w:space="0" w:color="auto"/>
      </w:divBdr>
    </w:div>
    <w:div w:id="551968980">
      <w:bodyDiv w:val="1"/>
      <w:marLeft w:val="0"/>
      <w:marRight w:val="0"/>
      <w:marTop w:val="0"/>
      <w:marBottom w:val="0"/>
      <w:divBdr>
        <w:top w:val="none" w:sz="0" w:space="0" w:color="auto"/>
        <w:left w:val="none" w:sz="0" w:space="0" w:color="auto"/>
        <w:bottom w:val="none" w:sz="0" w:space="0" w:color="auto"/>
        <w:right w:val="none" w:sz="0" w:space="0" w:color="auto"/>
      </w:divBdr>
    </w:div>
    <w:div w:id="557208967">
      <w:bodyDiv w:val="1"/>
      <w:marLeft w:val="0"/>
      <w:marRight w:val="0"/>
      <w:marTop w:val="0"/>
      <w:marBottom w:val="0"/>
      <w:divBdr>
        <w:top w:val="none" w:sz="0" w:space="0" w:color="auto"/>
        <w:left w:val="none" w:sz="0" w:space="0" w:color="auto"/>
        <w:bottom w:val="none" w:sz="0" w:space="0" w:color="auto"/>
        <w:right w:val="none" w:sz="0" w:space="0" w:color="auto"/>
      </w:divBdr>
    </w:div>
    <w:div w:id="558589838">
      <w:bodyDiv w:val="1"/>
      <w:marLeft w:val="0"/>
      <w:marRight w:val="0"/>
      <w:marTop w:val="0"/>
      <w:marBottom w:val="0"/>
      <w:divBdr>
        <w:top w:val="none" w:sz="0" w:space="0" w:color="auto"/>
        <w:left w:val="none" w:sz="0" w:space="0" w:color="auto"/>
        <w:bottom w:val="none" w:sz="0" w:space="0" w:color="auto"/>
        <w:right w:val="none" w:sz="0" w:space="0" w:color="auto"/>
      </w:divBdr>
    </w:div>
    <w:div w:id="563495018">
      <w:bodyDiv w:val="1"/>
      <w:marLeft w:val="0"/>
      <w:marRight w:val="0"/>
      <w:marTop w:val="0"/>
      <w:marBottom w:val="0"/>
      <w:divBdr>
        <w:top w:val="none" w:sz="0" w:space="0" w:color="auto"/>
        <w:left w:val="none" w:sz="0" w:space="0" w:color="auto"/>
        <w:bottom w:val="none" w:sz="0" w:space="0" w:color="auto"/>
        <w:right w:val="none" w:sz="0" w:space="0" w:color="auto"/>
      </w:divBdr>
    </w:div>
    <w:div w:id="574776963">
      <w:bodyDiv w:val="1"/>
      <w:marLeft w:val="0"/>
      <w:marRight w:val="0"/>
      <w:marTop w:val="0"/>
      <w:marBottom w:val="0"/>
      <w:divBdr>
        <w:top w:val="none" w:sz="0" w:space="0" w:color="auto"/>
        <w:left w:val="none" w:sz="0" w:space="0" w:color="auto"/>
        <w:bottom w:val="none" w:sz="0" w:space="0" w:color="auto"/>
        <w:right w:val="none" w:sz="0" w:space="0" w:color="auto"/>
      </w:divBdr>
    </w:div>
    <w:div w:id="575408397">
      <w:bodyDiv w:val="1"/>
      <w:marLeft w:val="0"/>
      <w:marRight w:val="0"/>
      <w:marTop w:val="0"/>
      <w:marBottom w:val="0"/>
      <w:divBdr>
        <w:top w:val="none" w:sz="0" w:space="0" w:color="auto"/>
        <w:left w:val="none" w:sz="0" w:space="0" w:color="auto"/>
        <w:bottom w:val="none" w:sz="0" w:space="0" w:color="auto"/>
        <w:right w:val="none" w:sz="0" w:space="0" w:color="auto"/>
      </w:divBdr>
    </w:div>
    <w:div w:id="577596526">
      <w:bodyDiv w:val="1"/>
      <w:marLeft w:val="0"/>
      <w:marRight w:val="0"/>
      <w:marTop w:val="0"/>
      <w:marBottom w:val="0"/>
      <w:divBdr>
        <w:top w:val="none" w:sz="0" w:space="0" w:color="auto"/>
        <w:left w:val="none" w:sz="0" w:space="0" w:color="auto"/>
        <w:bottom w:val="none" w:sz="0" w:space="0" w:color="auto"/>
        <w:right w:val="none" w:sz="0" w:space="0" w:color="auto"/>
      </w:divBdr>
    </w:div>
    <w:div w:id="577599940">
      <w:bodyDiv w:val="1"/>
      <w:marLeft w:val="0"/>
      <w:marRight w:val="0"/>
      <w:marTop w:val="0"/>
      <w:marBottom w:val="0"/>
      <w:divBdr>
        <w:top w:val="none" w:sz="0" w:space="0" w:color="auto"/>
        <w:left w:val="none" w:sz="0" w:space="0" w:color="auto"/>
        <w:bottom w:val="none" w:sz="0" w:space="0" w:color="auto"/>
        <w:right w:val="none" w:sz="0" w:space="0" w:color="auto"/>
      </w:divBdr>
    </w:div>
    <w:div w:id="591817801">
      <w:bodyDiv w:val="1"/>
      <w:marLeft w:val="0"/>
      <w:marRight w:val="0"/>
      <w:marTop w:val="0"/>
      <w:marBottom w:val="0"/>
      <w:divBdr>
        <w:top w:val="none" w:sz="0" w:space="0" w:color="auto"/>
        <w:left w:val="none" w:sz="0" w:space="0" w:color="auto"/>
        <w:bottom w:val="none" w:sz="0" w:space="0" w:color="auto"/>
        <w:right w:val="none" w:sz="0" w:space="0" w:color="auto"/>
      </w:divBdr>
    </w:div>
    <w:div w:id="593172115">
      <w:bodyDiv w:val="1"/>
      <w:marLeft w:val="0"/>
      <w:marRight w:val="0"/>
      <w:marTop w:val="0"/>
      <w:marBottom w:val="0"/>
      <w:divBdr>
        <w:top w:val="none" w:sz="0" w:space="0" w:color="auto"/>
        <w:left w:val="none" w:sz="0" w:space="0" w:color="auto"/>
        <w:bottom w:val="none" w:sz="0" w:space="0" w:color="auto"/>
        <w:right w:val="none" w:sz="0" w:space="0" w:color="auto"/>
      </w:divBdr>
    </w:div>
    <w:div w:id="596671533">
      <w:bodyDiv w:val="1"/>
      <w:marLeft w:val="0"/>
      <w:marRight w:val="0"/>
      <w:marTop w:val="0"/>
      <w:marBottom w:val="0"/>
      <w:divBdr>
        <w:top w:val="none" w:sz="0" w:space="0" w:color="auto"/>
        <w:left w:val="none" w:sz="0" w:space="0" w:color="auto"/>
        <w:bottom w:val="none" w:sz="0" w:space="0" w:color="auto"/>
        <w:right w:val="none" w:sz="0" w:space="0" w:color="auto"/>
      </w:divBdr>
    </w:div>
    <w:div w:id="596905198">
      <w:bodyDiv w:val="1"/>
      <w:marLeft w:val="0"/>
      <w:marRight w:val="0"/>
      <w:marTop w:val="0"/>
      <w:marBottom w:val="0"/>
      <w:divBdr>
        <w:top w:val="none" w:sz="0" w:space="0" w:color="auto"/>
        <w:left w:val="none" w:sz="0" w:space="0" w:color="auto"/>
        <w:bottom w:val="none" w:sz="0" w:space="0" w:color="auto"/>
        <w:right w:val="none" w:sz="0" w:space="0" w:color="auto"/>
      </w:divBdr>
    </w:div>
    <w:div w:id="596911047">
      <w:bodyDiv w:val="1"/>
      <w:marLeft w:val="0"/>
      <w:marRight w:val="0"/>
      <w:marTop w:val="0"/>
      <w:marBottom w:val="0"/>
      <w:divBdr>
        <w:top w:val="none" w:sz="0" w:space="0" w:color="auto"/>
        <w:left w:val="none" w:sz="0" w:space="0" w:color="auto"/>
        <w:bottom w:val="none" w:sz="0" w:space="0" w:color="auto"/>
        <w:right w:val="none" w:sz="0" w:space="0" w:color="auto"/>
      </w:divBdr>
    </w:div>
    <w:div w:id="598834366">
      <w:bodyDiv w:val="1"/>
      <w:marLeft w:val="0"/>
      <w:marRight w:val="0"/>
      <w:marTop w:val="0"/>
      <w:marBottom w:val="0"/>
      <w:divBdr>
        <w:top w:val="none" w:sz="0" w:space="0" w:color="auto"/>
        <w:left w:val="none" w:sz="0" w:space="0" w:color="auto"/>
        <w:bottom w:val="none" w:sz="0" w:space="0" w:color="auto"/>
        <w:right w:val="none" w:sz="0" w:space="0" w:color="auto"/>
      </w:divBdr>
    </w:div>
    <w:div w:id="602153715">
      <w:bodyDiv w:val="1"/>
      <w:marLeft w:val="0"/>
      <w:marRight w:val="0"/>
      <w:marTop w:val="0"/>
      <w:marBottom w:val="0"/>
      <w:divBdr>
        <w:top w:val="none" w:sz="0" w:space="0" w:color="auto"/>
        <w:left w:val="none" w:sz="0" w:space="0" w:color="auto"/>
        <w:bottom w:val="none" w:sz="0" w:space="0" w:color="auto"/>
        <w:right w:val="none" w:sz="0" w:space="0" w:color="auto"/>
      </w:divBdr>
    </w:div>
    <w:div w:id="621881656">
      <w:bodyDiv w:val="1"/>
      <w:marLeft w:val="0"/>
      <w:marRight w:val="0"/>
      <w:marTop w:val="0"/>
      <w:marBottom w:val="0"/>
      <w:divBdr>
        <w:top w:val="none" w:sz="0" w:space="0" w:color="auto"/>
        <w:left w:val="none" w:sz="0" w:space="0" w:color="auto"/>
        <w:bottom w:val="none" w:sz="0" w:space="0" w:color="auto"/>
        <w:right w:val="none" w:sz="0" w:space="0" w:color="auto"/>
      </w:divBdr>
    </w:div>
    <w:div w:id="622493274">
      <w:bodyDiv w:val="1"/>
      <w:marLeft w:val="0"/>
      <w:marRight w:val="0"/>
      <w:marTop w:val="0"/>
      <w:marBottom w:val="0"/>
      <w:divBdr>
        <w:top w:val="none" w:sz="0" w:space="0" w:color="auto"/>
        <w:left w:val="none" w:sz="0" w:space="0" w:color="auto"/>
        <w:bottom w:val="none" w:sz="0" w:space="0" w:color="auto"/>
        <w:right w:val="none" w:sz="0" w:space="0" w:color="auto"/>
      </w:divBdr>
    </w:div>
    <w:div w:id="625309214">
      <w:bodyDiv w:val="1"/>
      <w:marLeft w:val="0"/>
      <w:marRight w:val="0"/>
      <w:marTop w:val="0"/>
      <w:marBottom w:val="0"/>
      <w:divBdr>
        <w:top w:val="none" w:sz="0" w:space="0" w:color="auto"/>
        <w:left w:val="none" w:sz="0" w:space="0" w:color="auto"/>
        <w:bottom w:val="none" w:sz="0" w:space="0" w:color="auto"/>
        <w:right w:val="none" w:sz="0" w:space="0" w:color="auto"/>
      </w:divBdr>
    </w:div>
    <w:div w:id="631903347">
      <w:bodyDiv w:val="1"/>
      <w:marLeft w:val="0"/>
      <w:marRight w:val="0"/>
      <w:marTop w:val="0"/>
      <w:marBottom w:val="0"/>
      <w:divBdr>
        <w:top w:val="none" w:sz="0" w:space="0" w:color="auto"/>
        <w:left w:val="none" w:sz="0" w:space="0" w:color="auto"/>
        <w:bottom w:val="none" w:sz="0" w:space="0" w:color="auto"/>
        <w:right w:val="none" w:sz="0" w:space="0" w:color="auto"/>
      </w:divBdr>
    </w:div>
    <w:div w:id="647246368">
      <w:bodyDiv w:val="1"/>
      <w:marLeft w:val="0"/>
      <w:marRight w:val="0"/>
      <w:marTop w:val="0"/>
      <w:marBottom w:val="0"/>
      <w:divBdr>
        <w:top w:val="none" w:sz="0" w:space="0" w:color="auto"/>
        <w:left w:val="none" w:sz="0" w:space="0" w:color="auto"/>
        <w:bottom w:val="none" w:sz="0" w:space="0" w:color="auto"/>
        <w:right w:val="none" w:sz="0" w:space="0" w:color="auto"/>
      </w:divBdr>
    </w:div>
    <w:div w:id="651258136">
      <w:bodyDiv w:val="1"/>
      <w:marLeft w:val="0"/>
      <w:marRight w:val="0"/>
      <w:marTop w:val="0"/>
      <w:marBottom w:val="0"/>
      <w:divBdr>
        <w:top w:val="none" w:sz="0" w:space="0" w:color="auto"/>
        <w:left w:val="none" w:sz="0" w:space="0" w:color="auto"/>
        <w:bottom w:val="none" w:sz="0" w:space="0" w:color="auto"/>
        <w:right w:val="none" w:sz="0" w:space="0" w:color="auto"/>
      </w:divBdr>
    </w:div>
    <w:div w:id="651642558">
      <w:bodyDiv w:val="1"/>
      <w:marLeft w:val="0"/>
      <w:marRight w:val="0"/>
      <w:marTop w:val="0"/>
      <w:marBottom w:val="0"/>
      <w:divBdr>
        <w:top w:val="none" w:sz="0" w:space="0" w:color="auto"/>
        <w:left w:val="none" w:sz="0" w:space="0" w:color="auto"/>
        <w:bottom w:val="none" w:sz="0" w:space="0" w:color="auto"/>
        <w:right w:val="none" w:sz="0" w:space="0" w:color="auto"/>
      </w:divBdr>
    </w:div>
    <w:div w:id="656807415">
      <w:bodyDiv w:val="1"/>
      <w:marLeft w:val="0"/>
      <w:marRight w:val="0"/>
      <w:marTop w:val="0"/>
      <w:marBottom w:val="0"/>
      <w:divBdr>
        <w:top w:val="none" w:sz="0" w:space="0" w:color="auto"/>
        <w:left w:val="none" w:sz="0" w:space="0" w:color="auto"/>
        <w:bottom w:val="none" w:sz="0" w:space="0" w:color="auto"/>
        <w:right w:val="none" w:sz="0" w:space="0" w:color="auto"/>
      </w:divBdr>
    </w:div>
    <w:div w:id="669986166">
      <w:bodyDiv w:val="1"/>
      <w:marLeft w:val="0"/>
      <w:marRight w:val="0"/>
      <w:marTop w:val="0"/>
      <w:marBottom w:val="0"/>
      <w:divBdr>
        <w:top w:val="none" w:sz="0" w:space="0" w:color="auto"/>
        <w:left w:val="none" w:sz="0" w:space="0" w:color="auto"/>
        <w:bottom w:val="none" w:sz="0" w:space="0" w:color="auto"/>
        <w:right w:val="none" w:sz="0" w:space="0" w:color="auto"/>
      </w:divBdr>
    </w:div>
    <w:div w:id="698624132">
      <w:bodyDiv w:val="1"/>
      <w:marLeft w:val="0"/>
      <w:marRight w:val="0"/>
      <w:marTop w:val="0"/>
      <w:marBottom w:val="0"/>
      <w:divBdr>
        <w:top w:val="none" w:sz="0" w:space="0" w:color="auto"/>
        <w:left w:val="none" w:sz="0" w:space="0" w:color="auto"/>
        <w:bottom w:val="none" w:sz="0" w:space="0" w:color="auto"/>
        <w:right w:val="none" w:sz="0" w:space="0" w:color="auto"/>
      </w:divBdr>
    </w:div>
    <w:div w:id="710115252">
      <w:bodyDiv w:val="1"/>
      <w:marLeft w:val="0"/>
      <w:marRight w:val="0"/>
      <w:marTop w:val="0"/>
      <w:marBottom w:val="0"/>
      <w:divBdr>
        <w:top w:val="none" w:sz="0" w:space="0" w:color="auto"/>
        <w:left w:val="none" w:sz="0" w:space="0" w:color="auto"/>
        <w:bottom w:val="none" w:sz="0" w:space="0" w:color="auto"/>
        <w:right w:val="none" w:sz="0" w:space="0" w:color="auto"/>
      </w:divBdr>
    </w:div>
    <w:div w:id="711072174">
      <w:bodyDiv w:val="1"/>
      <w:marLeft w:val="0"/>
      <w:marRight w:val="0"/>
      <w:marTop w:val="0"/>
      <w:marBottom w:val="0"/>
      <w:divBdr>
        <w:top w:val="none" w:sz="0" w:space="0" w:color="auto"/>
        <w:left w:val="none" w:sz="0" w:space="0" w:color="auto"/>
        <w:bottom w:val="none" w:sz="0" w:space="0" w:color="auto"/>
        <w:right w:val="none" w:sz="0" w:space="0" w:color="auto"/>
      </w:divBdr>
    </w:div>
    <w:div w:id="720058717">
      <w:bodyDiv w:val="1"/>
      <w:marLeft w:val="0"/>
      <w:marRight w:val="0"/>
      <w:marTop w:val="0"/>
      <w:marBottom w:val="0"/>
      <w:divBdr>
        <w:top w:val="none" w:sz="0" w:space="0" w:color="auto"/>
        <w:left w:val="none" w:sz="0" w:space="0" w:color="auto"/>
        <w:bottom w:val="none" w:sz="0" w:space="0" w:color="auto"/>
        <w:right w:val="none" w:sz="0" w:space="0" w:color="auto"/>
      </w:divBdr>
    </w:div>
    <w:div w:id="723993548">
      <w:bodyDiv w:val="1"/>
      <w:marLeft w:val="0"/>
      <w:marRight w:val="0"/>
      <w:marTop w:val="0"/>
      <w:marBottom w:val="0"/>
      <w:divBdr>
        <w:top w:val="none" w:sz="0" w:space="0" w:color="auto"/>
        <w:left w:val="none" w:sz="0" w:space="0" w:color="auto"/>
        <w:bottom w:val="none" w:sz="0" w:space="0" w:color="auto"/>
        <w:right w:val="none" w:sz="0" w:space="0" w:color="auto"/>
      </w:divBdr>
    </w:div>
    <w:div w:id="727144139">
      <w:bodyDiv w:val="1"/>
      <w:marLeft w:val="0"/>
      <w:marRight w:val="0"/>
      <w:marTop w:val="0"/>
      <w:marBottom w:val="0"/>
      <w:divBdr>
        <w:top w:val="none" w:sz="0" w:space="0" w:color="auto"/>
        <w:left w:val="none" w:sz="0" w:space="0" w:color="auto"/>
        <w:bottom w:val="none" w:sz="0" w:space="0" w:color="auto"/>
        <w:right w:val="none" w:sz="0" w:space="0" w:color="auto"/>
      </w:divBdr>
    </w:div>
    <w:div w:id="727535423">
      <w:bodyDiv w:val="1"/>
      <w:marLeft w:val="0"/>
      <w:marRight w:val="0"/>
      <w:marTop w:val="0"/>
      <w:marBottom w:val="0"/>
      <w:divBdr>
        <w:top w:val="none" w:sz="0" w:space="0" w:color="auto"/>
        <w:left w:val="none" w:sz="0" w:space="0" w:color="auto"/>
        <w:bottom w:val="none" w:sz="0" w:space="0" w:color="auto"/>
        <w:right w:val="none" w:sz="0" w:space="0" w:color="auto"/>
      </w:divBdr>
    </w:div>
    <w:div w:id="734206236">
      <w:bodyDiv w:val="1"/>
      <w:marLeft w:val="0"/>
      <w:marRight w:val="0"/>
      <w:marTop w:val="0"/>
      <w:marBottom w:val="0"/>
      <w:divBdr>
        <w:top w:val="none" w:sz="0" w:space="0" w:color="auto"/>
        <w:left w:val="none" w:sz="0" w:space="0" w:color="auto"/>
        <w:bottom w:val="none" w:sz="0" w:space="0" w:color="auto"/>
        <w:right w:val="none" w:sz="0" w:space="0" w:color="auto"/>
      </w:divBdr>
    </w:div>
    <w:div w:id="754397947">
      <w:bodyDiv w:val="1"/>
      <w:marLeft w:val="0"/>
      <w:marRight w:val="0"/>
      <w:marTop w:val="0"/>
      <w:marBottom w:val="0"/>
      <w:divBdr>
        <w:top w:val="none" w:sz="0" w:space="0" w:color="auto"/>
        <w:left w:val="none" w:sz="0" w:space="0" w:color="auto"/>
        <w:bottom w:val="none" w:sz="0" w:space="0" w:color="auto"/>
        <w:right w:val="none" w:sz="0" w:space="0" w:color="auto"/>
      </w:divBdr>
    </w:div>
    <w:div w:id="762648148">
      <w:bodyDiv w:val="1"/>
      <w:marLeft w:val="0"/>
      <w:marRight w:val="0"/>
      <w:marTop w:val="0"/>
      <w:marBottom w:val="0"/>
      <w:divBdr>
        <w:top w:val="none" w:sz="0" w:space="0" w:color="auto"/>
        <w:left w:val="none" w:sz="0" w:space="0" w:color="auto"/>
        <w:bottom w:val="none" w:sz="0" w:space="0" w:color="auto"/>
        <w:right w:val="none" w:sz="0" w:space="0" w:color="auto"/>
      </w:divBdr>
    </w:div>
    <w:div w:id="765884686">
      <w:bodyDiv w:val="1"/>
      <w:marLeft w:val="0"/>
      <w:marRight w:val="0"/>
      <w:marTop w:val="0"/>
      <w:marBottom w:val="0"/>
      <w:divBdr>
        <w:top w:val="none" w:sz="0" w:space="0" w:color="auto"/>
        <w:left w:val="none" w:sz="0" w:space="0" w:color="auto"/>
        <w:bottom w:val="none" w:sz="0" w:space="0" w:color="auto"/>
        <w:right w:val="none" w:sz="0" w:space="0" w:color="auto"/>
      </w:divBdr>
    </w:div>
    <w:div w:id="770979432">
      <w:bodyDiv w:val="1"/>
      <w:marLeft w:val="0"/>
      <w:marRight w:val="0"/>
      <w:marTop w:val="0"/>
      <w:marBottom w:val="0"/>
      <w:divBdr>
        <w:top w:val="none" w:sz="0" w:space="0" w:color="auto"/>
        <w:left w:val="none" w:sz="0" w:space="0" w:color="auto"/>
        <w:bottom w:val="none" w:sz="0" w:space="0" w:color="auto"/>
        <w:right w:val="none" w:sz="0" w:space="0" w:color="auto"/>
      </w:divBdr>
    </w:div>
    <w:div w:id="773403918">
      <w:bodyDiv w:val="1"/>
      <w:marLeft w:val="0"/>
      <w:marRight w:val="0"/>
      <w:marTop w:val="0"/>
      <w:marBottom w:val="0"/>
      <w:divBdr>
        <w:top w:val="none" w:sz="0" w:space="0" w:color="auto"/>
        <w:left w:val="none" w:sz="0" w:space="0" w:color="auto"/>
        <w:bottom w:val="none" w:sz="0" w:space="0" w:color="auto"/>
        <w:right w:val="none" w:sz="0" w:space="0" w:color="auto"/>
      </w:divBdr>
    </w:div>
    <w:div w:id="784084671">
      <w:bodyDiv w:val="1"/>
      <w:marLeft w:val="0"/>
      <w:marRight w:val="0"/>
      <w:marTop w:val="0"/>
      <w:marBottom w:val="0"/>
      <w:divBdr>
        <w:top w:val="none" w:sz="0" w:space="0" w:color="auto"/>
        <w:left w:val="none" w:sz="0" w:space="0" w:color="auto"/>
        <w:bottom w:val="none" w:sz="0" w:space="0" w:color="auto"/>
        <w:right w:val="none" w:sz="0" w:space="0" w:color="auto"/>
      </w:divBdr>
    </w:div>
    <w:div w:id="787703050">
      <w:bodyDiv w:val="1"/>
      <w:marLeft w:val="0"/>
      <w:marRight w:val="0"/>
      <w:marTop w:val="0"/>
      <w:marBottom w:val="0"/>
      <w:divBdr>
        <w:top w:val="none" w:sz="0" w:space="0" w:color="auto"/>
        <w:left w:val="none" w:sz="0" w:space="0" w:color="auto"/>
        <w:bottom w:val="none" w:sz="0" w:space="0" w:color="auto"/>
        <w:right w:val="none" w:sz="0" w:space="0" w:color="auto"/>
      </w:divBdr>
    </w:div>
    <w:div w:id="789591326">
      <w:bodyDiv w:val="1"/>
      <w:marLeft w:val="0"/>
      <w:marRight w:val="0"/>
      <w:marTop w:val="0"/>
      <w:marBottom w:val="0"/>
      <w:divBdr>
        <w:top w:val="none" w:sz="0" w:space="0" w:color="auto"/>
        <w:left w:val="none" w:sz="0" w:space="0" w:color="auto"/>
        <w:bottom w:val="none" w:sz="0" w:space="0" w:color="auto"/>
        <w:right w:val="none" w:sz="0" w:space="0" w:color="auto"/>
      </w:divBdr>
    </w:div>
    <w:div w:id="793519722">
      <w:bodyDiv w:val="1"/>
      <w:marLeft w:val="0"/>
      <w:marRight w:val="0"/>
      <w:marTop w:val="0"/>
      <w:marBottom w:val="0"/>
      <w:divBdr>
        <w:top w:val="none" w:sz="0" w:space="0" w:color="auto"/>
        <w:left w:val="none" w:sz="0" w:space="0" w:color="auto"/>
        <w:bottom w:val="none" w:sz="0" w:space="0" w:color="auto"/>
        <w:right w:val="none" w:sz="0" w:space="0" w:color="auto"/>
      </w:divBdr>
    </w:div>
    <w:div w:id="803742823">
      <w:bodyDiv w:val="1"/>
      <w:marLeft w:val="0"/>
      <w:marRight w:val="0"/>
      <w:marTop w:val="0"/>
      <w:marBottom w:val="0"/>
      <w:divBdr>
        <w:top w:val="none" w:sz="0" w:space="0" w:color="auto"/>
        <w:left w:val="none" w:sz="0" w:space="0" w:color="auto"/>
        <w:bottom w:val="none" w:sz="0" w:space="0" w:color="auto"/>
        <w:right w:val="none" w:sz="0" w:space="0" w:color="auto"/>
      </w:divBdr>
    </w:div>
    <w:div w:id="817576807">
      <w:bodyDiv w:val="1"/>
      <w:marLeft w:val="0"/>
      <w:marRight w:val="0"/>
      <w:marTop w:val="0"/>
      <w:marBottom w:val="0"/>
      <w:divBdr>
        <w:top w:val="none" w:sz="0" w:space="0" w:color="auto"/>
        <w:left w:val="none" w:sz="0" w:space="0" w:color="auto"/>
        <w:bottom w:val="none" w:sz="0" w:space="0" w:color="auto"/>
        <w:right w:val="none" w:sz="0" w:space="0" w:color="auto"/>
      </w:divBdr>
    </w:div>
    <w:div w:id="817769663">
      <w:bodyDiv w:val="1"/>
      <w:marLeft w:val="0"/>
      <w:marRight w:val="0"/>
      <w:marTop w:val="0"/>
      <w:marBottom w:val="0"/>
      <w:divBdr>
        <w:top w:val="none" w:sz="0" w:space="0" w:color="auto"/>
        <w:left w:val="none" w:sz="0" w:space="0" w:color="auto"/>
        <w:bottom w:val="none" w:sz="0" w:space="0" w:color="auto"/>
        <w:right w:val="none" w:sz="0" w:space="0" w:color="auto"/>
      </w:divBdr>
    </w:div>
    <w:div w:id="821657127">
      <w:bodyDiv w:val="1"/>
      <w:marLeft w:val="0"/>
      <w:marRight w:val="0"/>
      <w:marTop w:val="0"/>
      <w:marBottom w:val="0"/>
      <w:divBdr>
        <w:top w:val="none" w:sz="0" w:space="0" w:color="auto"/>
        <w:left w:val="none" w:sz="0" w:space="0" w:color="auto"/>
        <w:bottom w:val="none" w:sz="0" w:space="0" w:color="auto"/>
        <w:right w:val="none" w:sz="0" w:space="0" w:color="auto"/>
      </w:divBdr>
    </w:div>
    <w:div w:id="825708143">
      <w:bodyDiv w:val="1"/>
      <w:marLeft w:val="0"/>
      <w:marRight w:val="0"/>
      <w:marTop w:val="0"/>
      <w:marBottom w:val="0"/>
      <w:divBdr>
        <w:top w:val="none" w:sz="0" w:space="0" w:color="auto"/>
        <w:left w:val="none" w:sz="0" w:space="0" w:color="auto"/>
        <w:bottom w:val="none" w:sz="0" w:space="0" w:color="auto"/>
        <w:right w:val="none" w:sz="0" w:space="0" w:color="auto"/>
      </w:divBdr>
    </w:div>
    <w:div w:id="835728615">
      <w:bodyDiv w:val="1"/>
      <w:marLeft w:val="0"/>
      <w:marRight w:val="0"/>
      <w:marTop w:val="0"/>
      <w:marBottom w:val="0"/>
      <w:divBdr>
        <w:top w:val="none" w:sz="0" w:space="0" w:color="auto"/>
        <w:left w:val="none" w:sz="0" w:space="0" w:color="auto"/>
        <w:bottom w:val="none" w:sz="0" w:space="0" w:color="auto"/>
        <w:right w:val="none" w:sz="0" w:space="0" w:color="auto"/>
      </w:divBdr>
    </w:div>
    <w:div w:id="839733369">
      <w:bodyDiv w:val="1"/>
      <w:marLeft w:val="0"/>
      <w:marRight w:val="0"/>
      <w:marTop w:val="0"/>
      <w:marBottom w:val="0"/>
      <w:divBdr>
        <w:top w:val="none" w:sz="0" w:space="0" w:color="auto"/>
        <w:left w:val="none" w:sz="0" w:space="0" w:color="auto"/>
        <w:bottom w:val="none" w:sz="0" w:space="0" w:color="auto"/>
        <w:right w:val="none" w:sz="0" w:space="0" w:color="auto"/>
      </w:divBdr>
    </w:div>
    <w:div w:id="840779451">
      <w:bodyDiv w:val="1"/>
      <w:marLeft w:val="0"/>
      <w:marRight w:val="0"/>
      <w:marTop w:val="0"/>
      <w:marBottom w:val="0"/>
      <w:divBdr>
        <w:top w:val="none" w:sz="0" w:space="0" w:color="auto"/>
        <w:left w:val="none" w:sz="0" w:space="0" w:color="auto"/>
        <w:bottom w:val="none" w:sz="0" w:space="0" w:color="auto"/>
        <w:right w:val="none" w:sz="0" w:space="0" w:color="auto"/>
      </w:divBdr>
    </w:div>
    <w:div w:id="849030667">
      <w:bodyDiv w:val="1"/>
      <w:marLeft w:val="0"/>
      <w:marRight w:val="0"/>
      <w:marTop w:val="0"/>
      <w:marBottom w:val="0"/>
      <w:divBdr>
        <w:top w:val="none" w:sz="0" w:space="0" w:color="auto"/>
        <w:left w:val="none" w:sz="0" w:space="0" w:color="auto"/>
        <w:bottom w:val="none" w:sz="0" w:space="0" w:color="auto"/>
        <w:right w:val="none" w:sz="0" w:space="0" w:color="auto"/>
      </w:divBdr>
    </w:div>
    <w:div w:id="873687986">
      <w:bodyDiv w:val="1"/>
      <w:marLeft w:val="0"/>
      <w:marRight w:val="0"/>
      <w:marTop w:val="0"/>
      <w:marBottom w:val="0"/>
      <w:divBdr>
        <w:top w:val="none" w:sz="0" w:space="0" w:color="auto"/>
        <w:left w:val="none" w:sz="0" w:space="0" w:color="auto"/>
        <w:bottom w:val="none" w:sz="0" w:space="0" w:color="auto"/>
        <w:right w:val="none" w:sz="0" w:space="0" w:color="auto"/>
      </w:divBdr>
    </w:div>
    <w:div w:id="873738610">
      <w:bodyDiv w:val="1"/>
      <w:marLeft w:val="0"/>
      <w:marRight w:val="0"/>
      <w:marTop w:val="0"/>
      <w:marBottom w:val="0"/>
      <w:divBdr>
        <w:top w:val="none" w:sz="0" w:space="0" w:color="auto"/>
        <w:left w:val="none" w:sz="0" w:space="0" w:color="auto"/>
        <w:bottom w:val="none" w:sz="0" w:space="0" w:color="auto"/>
        <w:right w:val="none" w:sz="0" w:space="0" w:color="auto"/>
      </w:divBdr>
    </w:div>
    <w:div w:id="876351133">
      <w:bodyDiv w:val="1"/>
      <w:marLeft w:val="0"/>
      <w:marRight w:val="0"/>
      <w:marTop w:val="0"/>
      <w:marBottom w:val="0"/>
      <w:divBdr>
        <w:top w:val="none" w:sz="0" w:space="0" w:color="auto"/>
        <w:left w:val="none" w:sz="0" w:space="0" w:color="auto"/>
        <w:bottom w:val="none" w:sz="0" w:space="0" w:color="auto"/>
        <w:right w:val="none" w:sz="0" w:space="0" w:color="auto"/>
      </w:divBdr>
    </w:div>
    <w:div w:id="890267638">
      <w:bodyDiv w:val="1"/>
      <w:marLeft w:val="0"/>
      <w:marRight w:val="0"/>
      <w:marTop w:val="0"/>
      <w:marBottom w:val="0"/>
      <w:divBdr>
        <w:top w:val="none" w:sz="0" w:space="0" w:color="auto"/>
        <w:left w:val="none" w:sz="0" w:space="0" w:color="auto"/>
        <w:bottom w:val="none" w:sz="0" w:space="0" w:color="auto"/>
        <w:right w:val="none" w:sz="0" w:space="0" w:color="auto"/>
      </w:divBdr>
    </w:div>
    <w:div w:id="898370251">
      <w:bodyDiv w:val="1"/>
      <w:marLeft w:val="0"/>
      <w:marRight w:val="0"/>
      <w:marTop w:val="0"/>
      <w:marBottom w:val="0"/>
      <w:divBdr>
        <w:top w:val="none" w:sz="0" w:space="0" w:color="auto"/>
        <w:left w:val="none" w:sz="0" w:space="0" w:color="auto"/>
        <w:bottom w:val="none" w:sz="0" w:space="0" w:color="auto"/>
        <w:right w:val="none" w:sz="0" w:space="0" w:color="auto"/>
      </w:divBdr>
    </w:div>
    <w:div w:id="912006927">
      <w:bodyDiv w:val="1"/>
      <w:marLeft w:val="0"/>
      <w:marRight w:val="0"/>
      <w:marTop w:val="0"/>
      <w:marBottom w:val="0"/>
      <w:divBdr>
        <w:top w:val="none" w:sz="0" w:space="0" w:color="auto"/>
        <w:left w:val="none" w:sz="0" w:space="0" w:color="auto"/>
        <w:bottom w:val="none" w:sz="0" w:space="0" w:color="auto"/>
        <w:right w:val="none" w:sz="0" w:space="0" w:color="auto"/>
      </w:divBdr>
    </w:div>
    <w:div w:id="918247496">
      <w:bodyDiv w:val="1"/>
      <w:marLeft w:val="0"/>
      <w:marRight w:val="0"/>
      <w:marTop w:val="0"/>
      <w:marBottom w:val="0"/>
      <w:divBdr>
        <w:top w:val="none" w:sz="0" w:space="0" w:color="auto"/>
        <w:left w:val="none" w:sz="0" w:space="0" w:color="auto"/>
        <w:bottom w:val="none" w:sz="0" w:space="0" w:color="auto"/>
        <w:right w:val="none" w:sz="0" w:space="0" w:color="auto"/>
      </w:divBdr>
    </w:div>
    <w:div w:id="920332244">
      <w:bodyDiv w:val="1"/>
      <w:marLeft w:val="0"/>
      <w:marRight w:val="0"/>
      <w:marTop w:val="0"/>
      <w:marBottom w:val="0"/>
      <w:divBdr>
        <w:top w:val="none" w:sz="0" w:space="0" w:color="auto"/>
        <w:left w:val="none" w:sz="0" w:space="0" w:color="auto"/>
        <w:bottom w:val="none" w:sz="0" w:space="0" w:color="auto"/>
        <w:right w:val="none" w:sz="0" w:space="0" w:color="auto"/>
      </w:divBdr>
    </w:div>
    <w:div w:id="929892678">
      <w:bodyDiv w:val="1"/>
      <w:marLeft w:val="0"/>
      <w:marRight w:val="0"/>
      <w:marTop w:val="0"/>
      <w:marBottom w:val="0"/>
      <w:divBdr>
        <w:top w:val="none" w:sz="0" w:space="0" w:color="auto"/>
        <w:left w:val="none" w:sz="0" w:space="0" w:color="auto"/>
        <w:bottom w:val="none" w:sz="0" w:space="0" w:color="auto"/>
        <w:right w:val="none" w:sz="0" w:space="0" w:color="auto"/>
      </w:divBdr>
    </w:div>
    <w:div w:id="936867131">
      <w:bodyDiv w:val="1"/>
      <w:marLeft w:val="0"/>
      <w:marRight w:val="0"/>
      <w:marTop w:val="0"/>
      <w:marBottom w:val="0"/>
      <w:divBdr>
        <w:top w:val="none" w:sz="0" w:space="0" w:color="auto"/>
        <w:left w:val="none" w:sz="0" w:space="0" w:color="auto"/>
        <w:bottom w:val="none" w:sz="0" w:space="0" w:color="auto"/>
        <w:right w:val="none" w:sz="0" w:space="0" w:color="auto"/>
      </w:divBdr>
    </w:div>
    <w:div w:id="938680492">
      <w:bodyDiv w:val="1"/>
      <w:marLeft w:val="0"/>
      <w:marRight w:val="0"/>
      <w:marTop w:val="0"/>
      <w:marBottom w:val="0"/>
      <w:divBdr>
        <w:top w:val="none" w:sz="0" w:space="0" w:color="auto"/>
        <w:left w:val="none" w:sz="0" w:space="0" w:color="auto"/>
        <w:bottom w:val="none" w:sz="0" w:space="0" w:color="auto"/>
        <w:right w:val="none" w:sz="0" w:space="0" w:color="auto"/>
      </w:divBdr>
    </w:div>
    <w:div w:id="940651758">
      <w:bodyDiv w:val="1"/>
      <w:marLeft w:val="0"/>
      <w:marRight w:val="0"/>
      <w:marTop w:val="0"/>
      <w:marBottom w:val="0"/>
      <w:divBdr>
        <w:top w:val="none" w:sz="0" w:space="0" w:color="auto"/>
        <w:left w:val="none" w:sz="0" w:space="0" w:color="auto"/>
        <w:bottom w:val="none" w:sz="0" w:space="0" w:color="auto"/>
        <w:right w:val="none" w:sz="0" w:space="0" w:color="auto"/>
      </w:divBdr>
    </w:div>
    <w:div w:id="941762759">
      <w:bodyDiv w:val="1"/>
      <w:marLeft w:val="0"/>
      <w:marRight w:val="0"/>
      <w:marTop w:val="0"/>
      <w:marBottom w:val="0"/>
      <w:divBdr>
        <w:top w:val="none" w:sz="0" w:space="0" w:color="auto"/>
        <w:left w:val="none" w:sz="0" w:space="0" w:color="auto"/>
        <w:bottom w:val="none" w:sz="0" w:space="0" w:color="auto"/>
        <w:right w:val="none" w:sz="0" w:space="0" w:color="auto"/>
      </w:divBdr>
    </w:div>
    <w:div w:id="951475268">
      <w:bodyDiv w:val="1"/>
      <w:marLeft w:val="0"/>
      <w:marRight w:val="0"/>
      <w:marTop w:val="0"/>
      <w:marBottom w:val="0"/>
      <w:divBdr>
        <w:top w:val="none" w:sz="0" w:space="0" w:color="auto"/>
        <w:left w:val="none" w:sz="0" w:space="0" w:color="auto"/>
        <w:bottom w:val="none" w:sz="0" w:space="0" w:color="auto"/>
        <w:right w:val="none" w:sz="0" w:space="0" w:color="auto"/>
      </w:divBdr>
    </w:div>
    <w:div w:id="964429802">
      <w:bodyDiv w:val="1"/>
      <w:marLeft w:val="0"/>
      <w:marRight w:val="0"/>
      <w:marTop w:val="0"/>
      <w:marBottom w:val="0"/>
      <w:divBdr>
        <w:top w:val="none" w:sz="0" w:space="0" w:color="auto"/>
        <w:left w:val="none" w:sz="0" w:space="0" w:color="auto"/>
        <w:bottom w:val="none" w:sz="0" w:space="0" w:color="auto"/>
        <w:right w:val="none" w:sz="0" w:space="0" w:color="auto"/>
      </w:divBdr>
    </w:div>
    <w:div w:id="967510907">
      <w:bodyDiv w:val="1"/>
      <w:marLeft w:val="0"/>
      <w:marRight w:val="0"/>
      <w:marTop w:val="0"/>
      <w:marBottom w:val="0"/>
      <w:divBdr>
        <w:top w:val="none" w:sz="0" w:space="0" w:color="auto"/>
        <w:left w:val="none" w:sz="0" w:space="0" w:color="auto"/>
        <w:bottom w:val="none" w:sz="0" w:space="0" w:color="auto"/>
        <w:right w:val="none" w:sz="0" w:space="0" w:color="auto"/>
      </w:divBdr>
    </w:div>
    <w:div w:id="972447943">
      <w:bodyDiv w:val="1"/>
      <w:marLeft w:val="0"/>
      <w:marRight w:val="0"/>
      <w:marTop w:val="0"/>
      <w:marBottom w:val="0"/>
      <w:divBdr>
        <w:top w:val="none" w:sz="0" w:space="0" w:color="auto"/>
        <w:left w:val="none" w:sz="0" w:space="0" w:color="auto"/>
        <w:bottom w:val="none" w:sz="0" w:space="0" w:color="auto"/>
        <w:right w:val="none" w:sz="0" w:space="0" w:color="auto"/>
      </w:divBdr>
    </w:div>
    <w:div w:id="985010744">
      <w:bodyDiv w:val="1"/>
      <w:marLeft w:val="0"/>
      <w:marRight w:val="0"/>
      <w:marTop w:val="0"/>
      <w:marBottom w:val="0"/>
      <w:divBdr>
        <w:top w:val="none" w:sz="0" w:space="0" w:color="auto"/>
        <w:left w:val="none" w:sz="0" w:space="0" w:color="auto"/>
        <w:bottom w:val="none" w:sz="0" w:space="0" w:color="auto"/>
        <w:right w:val="none" w:sz="0" w:space="0" w:color="auto"/>
      </w:divBdr>
    </w:div>
    <w:div w:id="991179981">
      <w:bodyDiv w:val="1"/>
      <w:marLeft w:val="0"/>
      <w:marRight w:val="0"/>
      <w:marTop w:val="0"/>
      <w:marBottom w:val="0"/>
      <w:divBdr>
        <w:top w:val="none" w:sz="0" w:space="0" w:color="auto"/>
        <w:left w:val="none" w:sz="0" w:space="0" w:color="auto"/>
        <w:bottom w:val="none" w:sz="0" w:space="0" w:color="auto"/>
        <w:right w:val="none" w:sz="0" w:space="0" w:color="auto"/>
      </w:divBdr>
    </w:div>
    <w:div w:id="992489739">
      <w:bodyDiv w:val="1"/>
      <w:marLeft w:val="0"/>
      <w:marRight w:val="0"/>
      <w:marTop w:val="0"/>
      <w:marBottom w:val="0"/>
      <w:divBdr>
        <w:top w:val="none" w:sz="0" w:space="0" w:color="auto"/>
        <w:left w:val="none" w:sz="0" w:space="0" w:color="auto"/>
        <w:bottom w:val="none" w:sz="0" w:space="0" w:color="auto"/>
        <w:right w:val="none" w:sz="0" w:space="0" w:color="auto"/>
      </w:divBdr>
    </w:div>
    <w:div w:id="996802933">
      <w:bodyDiv w:val="1"/>
      <w:marLeft w:val="0"/>
      <w:marRight w:val="0"/>
      <w:marTop w:val="0"/>
      <w:marBottom w:val="0"/>
      <w:divBdr>
        <w:top w:val="none" w:sz="0" w:space="0" w:color="auto"/>
        <w:left w:val="none" w:sz="0" w:space="0" w:color="auto"/>
        <w:bottom w:val="none" w:sz="0" w:space="0" w:color="auto"/>
        <w:right w:val="none" w:sz="0" w:space="0" w:color="auto"/>
      </w:divBdr>
    </w:div>
    <w:div w:id="997726182">
      <w:bodyDiv w:val="1"/>
      <w:marLeft w:val="0"/>
      <w:marRight w:val="0"/>
      <w:marTop w:val="0"/>
      <w:marBottom w:val="0"/>
      <w:divBdr>
        <w:top w:val="none" w:sz="0" w:space="0" w:color="auto"/>
        <w:left w:val="none" w:sz="0" w:space="0" w:color="auto"/>
        <w:bottom w:val="none" w:sz="0" w:space="0" w:color="auto"/>
        <w:right w:val="none" w:sz="0" w:space="0" w:color="auto"/>
      </w:divBdr>
    </w:div>
    <w:div w:id="998508919">
      <w:bodyDiv w:val="1"/>
      <w:marLeft w:val="0"/>
      <w:marRight w:val="0"/>
      <w:marTop w:val="0"/>
      <w:marBottom w:val="0"/>
      <w:divBdr>
        <w:top w:val="none" w:sz="0" w:space="0" w:color="auto"/>
        <w:left w:val="none" w:sz="0" w:space="0" w:color="auto"/>
        <w:bottom w:val="none" w:sz="0" w:space="0" w:color="auto"/>
        <w:right w:val="none" w:sz="0" w:space="0" w:color="auto"/>
      </w:divBdr>
    </w:div>
    <w:div w:id="1001544946">
      <w:bodyDiv w:val="1"/>
      <w:marLeft w:val="0"/>
      <w:marRight w:val="0"/>
      <w:marTop w:val="0"/>
      <w:marBottom w:val="0"/>
      <w:divBdr>
        <w:top w:val="none" w:sz="0" w:space="0" w:color="auto"/>
        <w:left w:val="none" w:sz="0" w:space="0" w:color="auto"/>
        <w:bottom w:val="none" w:sz="0" w:space="0" w:color="auto"/>
        <w:right w:val="none" w:sz="0" w:space="0" w:color="auto"/>
      </w:divBdr>
    </w:div>
    <w:div w:id="1014378556">
      <w:bodyDiv w:val="1"/>
      <w:marLeft w:val="0"/>
      <w:marRight w:val="0"/>
      <w:marTop w:val="0"/>
      <w:marBottom w:val="0"/>
      <w:divBdr>
        <w:top w:val="none" w:sz="0" w:space="0" w:color="auto"/>
        <w:left w:val="none" w:sz="0" w:space="0" w:color="auto"/>
        <w:bottom w:val="none" w:sz="0" w:space="0" w:color="auto"/>
        <w:right w:val="none" w:sz="0" w:space="0" w:color="auto"/>
      </w:divBdr>
    </w:div>
    <w:div w:id="1017082697">
      <w:bodyDiv w:val="1"/>
      <w:marLeft w:val="0"/>
      <w:marRight w:val="0"/>
      <w:marTop w:val="0"/>
      <w:marBottom w:val="0"/>
      <w:divBdr>
        <w:top w:val="none" w:sz="0" w:space="0" w:color="auto"/>
        <w:left w:val="none" w:sz="0" w:space="0" w:color="auto"/>
        <w:bottom w:val="none" w:sz="0" w:space="0" w:color="auto"/>
        <w:right w:val="none" w:sz="0" w:space="0" w:color="auto"/>
      </w:divBdr>
    </w:div>
    <w:div w:id="1017460556">
      <w:bodyDiv w:val="1"/>
      <w:marLeft w:val="0"/>
      <w:marRight w:val="0"/>
      <w:marTop w:val="0"/>
      <w:marBottom w:val="0"/>
      <w:divBdr>
        <w:top w:val="none" w:sz="0" w:space="0" w:color="auto"/>
        <w:left w:val="none" w:sz="0" w:space="0" w:color="auto"/>
        <w:bottom w:val="none" w:sz="0" w:space="0" w:color="auto"/>
        <w:right w:val="none" w:sz="0" w:space="0" w:color="auto"/>
      </w:divBdr>
    </w:div>
    <w:div w:id="1017467231">
      <w:bodyDiv w:val="1"/>
      <w:marLeft w:val="0"/>
      <w:marRight w:val="0"/>
      <w:marTop w:val="0"/>
      <w:marBottom w:val="0"/>
      <w:divBdr>
        <w:top w:val="none" w:sz="0" w:space="0" w:color="auto"/>
        <w:left w:val="none" w:sz="0" w:space="0" w:color="auto"/>
        <w:bottom w:val="none" w:sz="0" w:space="0" w:color="auto"/>
        <w:right w:val="none" w:sz="0" w:space="0" w:color="auto"/>
      </w:divBdr>
    </w:div>
    <w:div w:id="1019744647">
      <w:bodyDiv w:val="1"/>
      <w:marLeft w:val="0"/>
      <w:marRight w:val="0"/>
      <w:marTop w:val="0"/>
      <w:marBottom w:val="0"/>
      <w:divBdr>
        <w:top w:val="none" w:sz="0" w:space="0" w:color="auto"/>
        <w:left w:val="none" w:sz="0" w:space="0" w:color="auto"/>
        <w:bottom w:val="none" w:sz="0" w:space="0" w:color="auto"/>
        <w:right w:val="none" w:sz="0" w:space="0" w:color="auto"/>
      </w:divBdr>
    </w:div>
    <w:div w:id="1021514520">
      <w:bodyDiv w:val="1"/>
      <w:marLeft w:val="0"/>
      <w:marRight w:val="0"/>
      <w:marTop w:val="0"/>
      <w:marBottom w:val="0"/>
      <w:divBdr>
        <w:top w:val="none" w:sz="0" w:space="0" w:color="auto"/>
        <w:left w:val="none" w:sz="0" w:space="0" w:color="auto"/>
        <w:bottom w:val="none" w:sz="0" w:space="0" w:color="auto"/>
        <w:right w:val="none" w:sz="0" w:space="0" w:color="auto"/>
      </w:divBdr>
    </w:div>
    <w:div w:id="1021855143">
      <w:bodyDiv w:val="1"/>
      <w:marLeft w:val="0"/>
      <w:marRight w:val="0"/>
      <w:marTop w:val="0"/>
      <w:marBottom w:val="0"/>
      <w:divBdr>
        <w:top w:val="none" w:sz="0" w:space="0" w:color="auto"/>
        <w:left w:val="none" w:sz="0" w:space="0" w:color="auto"/>
        <w:bottom w:val="none" w:sz="0" w:space="0" w:color="auto"/>
        <w:right w:val="none" w:sz="0" w:space="0" w:color="auto"/>
      </w:divBdr>
    </w:div>
    <w:div w:id="1029836824">
      <w:bodyDiv w:val="1"/>
      <w:marLeft w:val="0"/>
      <w:marRight w:val="0"/>
      <w:marTop w:val="0"/>
      <w:marBottom w:val="0"/>
      <w:divBdr>
        <w:top w:val="none" w:sz="0" w:space="0" w:color="auto"/>
        <w:left w:val="none" w:sz="0" w:space="0" w:color="auto"/>
        <w:bottom w:val="none" w:sz="0" w:space="0" w:color="auto"/>
        <w:right w:val="none" w:sz="0" w:space="0" w:color="auto"/>
      </w:divBdr>
    </w:div>
    <w:div w:id="1031607723">
      <w:bodyDiv w:val="1"/>
      <w:marLeft w:val="0"/>
      <w:marRight w:val="0"/>
      <w:marTop w:val="0"/>
      <w:marBottom w:val="0"/>
      <w:divBdr>
        <w:top w:val="none" w:sz="0" w:space="0" w:color="auto"/>
        <w:left w:val="none" w:sz="0" w:space="0" w:color="auto"/>
        <w:bottom w:val="none" w:sz="0" w:space="0" w:color="auto"/>
        <w:right w:val="none" w:sz="0" w:space="0" w:color="auto"/>
      </w:divBdr>
    </w:div>
    <w:div w:id="1033650851">
      <w:bodyDiv w:val="1"/>
      <w:marLeft w:val="0"/>
      <w:marRight w:val="0"/>
      <w:marTop w:val="0"/>
      <w:marBottom w:val="0"/>
      <w:divBdr>
        <w:top w:val="none" w:sz="0" w:space="0" w:color="auto"/>
        <w:left w:val="none" w:sz="0" w:space="0" w:color="auto"/>
        <w:bottom w:val="none" w:sz="0" w:space="0" w:color="auto"/>
        <w:right w:val="none" w:sz="0" w:space="0" w:color="auto"/>
      </w:divBdr>
    </w:div>
    <w:div w:id="1037199978">
      <w:bodyDiv w:val="1"/>
      <w:marLeft w:val="0"/>
      <w:marRight w:val="0"/>
      <w:marTop w:val="0"/>
      <w:marBottom w:val="0"/>
      <w:divBdr>
        <w:top w:val="none" w:sz="0" w:space="0" w:color="auto"/>
        <w:left w:val="none" w:sz="0" w:space="0" w:color="auto"/>
        <w:bottom w:val="none" w:sz="0" w:space="0" w:color="auto"/>
        <w:right w:val="none" w:sz="0" w:space="0" w:color="auto"/>
      </w:divBdr>
    </w:div>
    <w:div w:id="1050419334">
      <w:bodyDiv w:val="1"/>
      <w:marLeft w:val="0"/>
      <w:marRight w:val="0"/>
      <w:marTop w:val="0"/>
      <w:marBottom w:val="0"/>
      <w:divBdr>
        <w:top w:val="none" w:sz="0" w:space="0" w:color="auto"/>
        <w:left w:val="none" w:sz="0" w:space="0" w:color="auto"/>
        <w:bottom w:val="none" w:sz="0" w:space="0" w:color="auto"/>
        <w:right w:val="none" w:sz="0" w:space="0" w:color="auto"/>
      </w:divBdr>
    </w:div>
    <w:div w:id="1052585101">
      <w:bodyDiv w:val="1"/>
      <w:marLeft w:val="0"/>
      <w:marRight w:val="0"/>
      <w:marTop w:val="0"/>
      <w:marBottom w:val="0"/>
      <w:divBdr>
        <w:top w:val="none" w:sz="0" w:space="0" w:color="auto"/>
        <w:left w:val="none" w:sz="0" w:space="0" w:color="auto"/>
        <w:bottom w:val="none" w:sz="0" w:space="0" w:color="auto"/>
        <w:right w:val="none" w:sz="0" w:space="0" w:color="auto"/>
      </w:divBdr>
    </w:div>
    <w:div w:id="1055547434">
      <w:bodyDiv w:val="1"/>
      <w:marLeft w:val="0"/>
      <w:marRight w:val="0"/>
      <w:marTop w:val="0"/>
      <w:marBottom w:val="0"/>
      <w:divBdr>
        <w:top w:val="none" w:sz="0" w:space="0" w:color="auto"/>
        <w:left w:val="none" w:sz="0" w:space="0" w:color="auto"/>
        <w:bottom w:val="none" w:sz="0" w:space="0" w:color="auto"/>
        <w:right w:val="none" w:sz="0" w:space="0" w:color="auto"/>
      </w:divBdr>
    </w:div>
    <w:div w:id="1069692744">
      <w:bodyDiv w:val="1"/>
      <w:marLeft w:val="0"/>
      <w:marRight w:val="0"/>
      <w:marTop w:val="0"/>
      <w:marBottom w:val="0"/>
      <w:divBdr>
        <w:top w:val="none" w:sz="0" w:space="0" w:color="auto"/>
        <w:left w:val="none" w:sz="0" w:space="0" w:color="auto"/>
        <w:bottom w:val="none" w:sz="0" w:space="0" w:color="auto"/>
        <w:right w:val="none" w:sz="0" w:space="0" w:color="auto"/>
      </w:divBdr>
    </w:div>
    <w:div w:id="1071345913">
      <w:bodyDiv w:val="1"/>
      <w:marLeft w:val="0"/>
      <w:marRight w:val="0"/>
      <w:marTop w:val="0"/>
      <w:marBottom w:val="0"/>
      <w:divBdr>
        <w:top w:val="none" w:sz="0" w:space="0" w:color="auto"/>
        <w:left w:val="none" w:sz="0" w:space="0" w:color="auto"/>
        <w:bottom w:val="none" w:sz="0" w:space="0" w:color="auto"/>
        <w:right w:val="none" w:sz="0" w:space="0" w:color="auto"/>
      </w:divBdr>
    </w:div>
    <w:div w:id="1071389348">
      <w:bodyDiv w:val="1"/>
      <w:marLeft w:val="0"/>
      <w:marRight w:val="0"/>
      <w:marTop w:val="0"/>
      <w:marBottom w:val="0"/>
      <w:divBdr>
        <w:top w:val="none" w:sz="0" w:space="0" w:color="auto"/>
        <w:left w:val="none" w:sz="0" w:space="0" w:color="auto"/>
        <w:bottom w:val="none" w:sz="0" w:space="0" w:color="auto"/>
        <w:right w:val="none" w:sz="0" w:space="0" w:color="auto"/>
      </w:divBdr>
    </w:div>
    <w:div w:id="1073893810">
      <w:bodyDiv w:val="1"/>
      <w:marLeft w:val="0"/>
      <w:marRight w:val="0"/>
      <w:marTop w:val="0"/>
      <w:marBottom w:val="0"/>
      <w:divBdr>
        <w:top w:val="none" w:sz="0" w:space="0" w:color="auto"/>
        <w:left w:val="none" w:sz="0" w:space="0" w:color="auto"/>
        <w:bottom w:val="none" w:sz="0" w:space="0" w:color="auto"/>
        <w:right w:val="none" w:sz="0" w:space="0" w:color="auto"/>
      </w:divBdr>
    </w:div>
    <w:div w:id="1076318124">
      <w:bodyDiv w:val="1"/>
      <w:marLeft w:val="0"/>
      <w:marRight w:val="0"/>
      <w:marTop w:val="0"/>
      <w:marBottom w:val="0"/>
      <w:divBdr>
        <w:top w:val="none" w:sz="0" w:space="0" w:color="auto"/>
        <w:left w:val="none" w:sz="0" w:space="0" w:color="auto"/>
        <w:bottom w:val="none" w:sz="0" w:space="0" w:color="auto"/>
        <w:right w:val="none" w:sz="0" w:space="0" w:color="auto"/>
      </w:divBdr>
    </w:div>
    <w:div w:id="1078945542">
      <w:bodyDiv w:val="1"/>
      <w:marLeft w:val="0"/>
      <w:marRight w:val="0"/>
      <w:marTop w:val="0"/>
      <w:marBottom w:val="0"/>
      <w:divBdr>
        <w:top w:val="none" w:sz="0" w:space="0" w:color="auto"/>
        <w:left w:val="none" w:sz="0" w:space="0" w:color="auto"/>
        <w:bottom w:val="none" w:sz="0" w:space="0" w:color="auto"/>
        <w:right w:val="none" w:sz="0" w:space="0" w:color="auto"/>
      </w:divBdr>
    </w:div>
    <w:div w:id="1082096345">
      <w:bodyDiv w:val="1"/>
      <w:marLeft w:val="0"/>
      <w:marRight w:val="0"/>
      <w:marTop w:val="0"/>
      <w:marBottom w:val="0"/>
      <w:divBdr>
        <w:top w:val="none" w:sz="0" w:space="0" w:color="auto"/>
        <w:left w:val="none" w:sz="0" w:space="0" w:color="auto"/>
        <w:bottom w:val="none" w:sz="0" w:space="0" w:color="auto"/>
        <w:right w:val="none" w:sz="0" w:space="0" w:color="auto"/>
      </w:divBdr>
    </w:div>
    <w:div w:id="1082484725">
      <w:bodyDiv w:val="1"/>
      <w:marLeft w:val="0"/>
      <w:marRight w:val="0"/>
      <w:marTop w:val="0"/>
      <w:marBottom w:val="0"/>
      <w:divBdr>
        <w:top w:val="none" w:sz="0" w:space="0" w:color="auto"/>
        <w:left w:val="none" w:sz="0" w:space="0" w:color="auto"/>
        <w:bottom w:val="none" w:sz="0" w:space="0" w:color="auto"/>
        <w:right w:val="none" w:sz="0" w:space="0" w:color="auto"/>
      </w:divBdr>
    </w:div>
    <w:div w:id="1083837762">
      <w:bodyDiv w:val="1"/>
      <w:marLeft w:val="0"/>
      <w:marRight w:val="0"/>
      <w:marTop w:val="0"/>
      <w:marBottom w:val="0"/>
      <w:divBdr>
        <w:top w:val="none" w:sz="0" w:space="0" w:color="auto"/>
        <w:left w:val="none" w:sz="0" w:space="0" w:color="auto"/>
        <w:bottom w:val="none" w:sz="0" w:space="0" w:color="auto"/>
        <w:right w:val="none" w:sz="0" w:space="0" w:color="auto"/>
      </w:divBdr>
    </w:div>
    <w:div w:id="1084645682">
      <w:bodyDiv w:val="1"/>
      <w:marLeft w:val="0"/>
      <w:marRight w:val="0"/>
      <w:marTop w:val="0"/>
      <w:marBottom w:val="0"/>
      <w:divBdr>
        <w:top w:val="none" w:sz="0" w:space="0" w:color="auto"/>
        <w:left w:val="none" w:sz="0" w:space="0" w:color="auto"/>
        <w:bottom w:val="none" w:sz="0" w:space="0" w:color="auto"/>
        <w:right w:val="none" w:sz="0" w:space="0" w:color="auto"/>
      </w:divBdr>
    </w:div>
    <w:div w:id="1087969403">
      <w:bodyDiv w:val="1"/>
      <w:marLeft w:val="0"/>
      <w:marRight w:val="0"/>
      <w:marTop w:val="0"/>
      <w:marBottom w:val="0"/>
      <w:divBdr>
        <w:top w:val="none" w:sz="0" w:space="0" w:color="auto"/>
        <w:left w:val="none" w:sz="0" w:space="0" w:color="auto"/>
        <w:bottom w:val="none" w:sz="0" w:space="0" w:color="auto"/>
        <w:right w:val="none" w:sz="0" w:space="0" w:color="auto"/>
      </w:divBdr>
    </w:div>
    <w:div w:id="1088110870">
      <w:bodyDiv w:val="1"/>
      <w:marLeft w:val="0"/>
      <w:marRight w:val="0"/>
      <w:marTop w:val="0"/>
      <w:marBottom w:val="0"/>
      <w:divBdr>
        <w:top w:val="none" w:sz="0" w:space="0" w:color="auto"/>
        <w:left w:val="none" w:sz="0" w:space="0" w:color="auto"/>
        <w:bottom w:val="none" w:sz="0" w:space="0" w:color="auto"/>
        <w:right w:val="none" w:sz="0" w:space="0" w:color="auto"/>
      </w:divBdr>
    </w:div>
    <w:div w:id="1091508301">
      <w:bodyDiv w:val="1"/>
      <w:marLeft w:val="0"/>
      <w:marRight w:val="0"/>
      <w:marTop w:val="0"/>
      <w:marBottom w:val="0"/>
      <w:divBdr>
        <w:top w:val="none" w:sz="0" w:space="0" w:color="auto"/>
        <w:left w:val="none" w:sz="0" w:space="0" w:color="auto"/>
        <w:bottom w:val="none" w:sz="0" w:space="0" w:color="auto"/>
        <w:right w:val="none" w:sz="0" w:space="0" w:color="auto"/>
      </w:divBdr>
    </w:div>
    <w:div w:id="1092119919">
      <w:bodyDiv w:val="1"/>
      <w:marLeft w:val="0"/>
      <w:marRight w:val="0"/>
      <w:marTop w:val="0"/>
      <w:marBottom w:val="0"/>
      <w:divBdr>
        <w:top w:val="none" w:sz="0" w:space="0" w:color="auto"/>
        <w:left w:val="none" w:sz="0" w:space="0" w:color="auto"/>
        <w:bottom w:val="none" w:sz="0" w:space="0" w:color="auto"/>
        <w:right w:val="none" w:sz="0" w:space="0" w:color="auto"/>
      </w:divBdr>
    </w:div>
    <w:div w:id="1093740918">
      <w:bodyDiv w:val="1"/>
      <w:marLeft w:val="0"/>
      <w:marRight w:val="0"/>
      <w:marTop w:val="0"/>
      <w:marBottom w:val="0"/>
      <w:divBdr>
        <w:top w:val="none" w:sz="0" w:space="0" w:color="auto"/>
        <w:left w:val="none" w:sz="0" w:space="0" w:color="auto"/>
        <w:bottom w:val="none" w:sz="0" w:space="0" w:color="auto"/>
        <w:right w:val="none" w:sz="0" w:space="0" w:color="auto"/>
      </w:divBdr>
    </w:div>
    <w:div w:id="1100299801">
      <w:bodyDiv w:val="1"/>
      <w:marLeft w:val="0"/>
      <w:marRight w:val="0"/>
      <w:marTop w:val="0"/>
      <w:marBottom w:val="0"/>
      <w:divBdr>
        <w:top w:val="none" w:sz="0" w:space="0" w:color="auto"/>
        <w:left w:val="none" w:sz="0" w:space="0" w:color="auto"/>
        <w:bottom w:val="none" w:sz="0" w:space="0" w:color="auto"/>
        <w:right w:val="none" w:sz="0" w:space="0" w:color="auto"/>
      </w:divBdr>
    </w:div>
    <w:div w:id="1107772721">
      <w:bodyDiv w:val="1"/>
      <w:marLeft w:val="0"/>
      <w:marRight w:val="0"/>
      <w:marTop w:val="0"/>
      <w:marBottom w:val="0"/>
      <w:divBdr>
        <w:top w:val="none" w:sz="0" w:space="0" w:color="auto"/>
        <w:left w:val="none" w:sz="0" w:space="0" w:color="auto"/>
        <w:bottom w:val="none" w:sz="0" w:space="0" w:color="auto"/>
        <w:right w:val="none" w:sz="0" w:space="0" w:color="auto"/>
      </w:divBdr>
    </w:div>
    <w:div w:id="1108045120">
      <w:bodyDiv w:val="1"/>
      <w:marLeft w:val="0"/>
      <w:marRight w:val="0"/>
      <w:marTop w:val="0"/>
      <w:marBottom w:val="0"/>
      <w:divBdr>
        <w:top w:val="none" w:sz="0" w:space="0" w:color="auto"/>
        <w:left w:val="none" w:sz="0" w:space="0" w:color="auto"/>
        <w:bottom w:val="none" w:sz="0" w:space="0" w:color="auto"/>
        <w:right w:val="none" w:sz="0" w:space="0" w:color="auto"/>
      </w:divBdr>
    </w:div>
    <w:div w:id="1109742354">
      <w:bodyDiv w:val="1"/>
      <w:marLeft w:val="0"/>
      <w:marRight w:val="0"/>
      <w:marTop w:val="0"/>
      <w:marBottom w:val="0"/>
      <w:divBdr>
        <w:top w:val="none" w:sz="0" w:space="0" w:color="auto"/>
        <w:left w:val="none" w:sz="0" w:space="0" w:color="auto"/>
        <w:bottom w:val="none" w:sz="0" w:space="0" w:color="auto"/>
        <w:right w:val="none" w:sz="0" w:space="0" w:color="auto"/>
      </w:divBdr>
    </w:div>
    <w:div w:id="1118063173">
      <w:bodyDiv w:val="1"/>
      <w:marLeft w:val="0"/>
      <w:marRight w:val="0"/>
      <w:marTop w:val="0"/>
      <w:marBottom w:val="0"/>
      <w:divBdr>
        <w:top w:val="none" w:sz="0" w:space="0" w:color="auto"/>
        <w:left w:val="none" w:sz="0" w:space="0" w:color="auto"/>
        <w:bottom w:val="none" w:sz="0" w:space="0" w:color="auto"/>
        <w:right w:val="none" w:sz="0" w:space="0" w:color="auto"/>
      </w:divBdr>
    </w:div>
    <w:div w:id="1121194108">
      <w:bodyDiv w:val="1"/>
      <w:marLeft w:val="0"/>
      <w:marRight w:val="0"/>
      <w:marTop w:val="0"/>
      <w:marBottom w:val="0"/>
      <w:divBdr>
        <w:top w:val="none" w:sz="0" w:space="0" w:color="auto"/>
        <w:left w:val="none" w:sz="0" w:space="0" w:color="auto"/>
        <w:bottom w:val="none" w:sz="0" w:space="0" w:color="auto"/>
        <w:right w:val="none" w:sz="0" w:space="0" w:color="auto"/>
      </w:divBdr>
    </w:div>
    <w:div w:id="1125196639">
      <w:bodyDiv w:val="1"/>
      <w:marLeft w:val="0"/>
      <w:marRight w:val="0"/>
      <w:marTop w:val="0"/>
      <w:marBottom w:val="0"/>
      <w:divBdr>
        <w:top w:val="none" w:sz="0" w:space="0" w:color="auto"/>
        <w:left w:val="none" w:sz="0" w:space="0" w:color="auto"/>
        <w:bottom w:val="none" w:sz="0" w:space="0" w:color="auto"/>
        <w:right w:val="none" w:sz="0" w:space="0" w:color="auto"/>
      </w:divBdr>
    </w:div>
    <w:div w:id="1133905279">
      <w:bodyDiv w:val="1"/>
      <w:marLeft w:val="0"/>
      <w:marRight w:val="0"/>
      <w:marTop w:val="0"/>
      <w:marBottom w:val="0"/>
      <w:divBdr>
        <w:top w:val="none" w:sz="0" w:space="0" w:color="auto"/>
        <w:left w:val="none" w:sz="0" w:space="0" w:color="auto"/>
        <w:bottom w:val="none" w:sz="0" w:space="0" w:color="auto"/>
        <w:right w:val="none" w:sz="0" w:space="0" w:color="auto"/>
      </w:divBdr>
    </w:div>
    <w:div w:id="1141919548">
      <w:bodyDiv w:val="1"/>
      <w:marLeft w:val="0"/>
      <w:marRight w:val="0"/>
      <w:marTop w:val="0"/>
      <w:marBottom w:val="0"/>
      <w:divBdr>
        <w:top w:val="none" w:sz="0" w:space="0" w:color="auto"/>
        <w:left w:val="none" w:sz="0" w:space="0" w:color="auto"/>
        <w:bottom w:val="none" w:sz="0" w:space="0" w:color="auto"/>
        <w:right w:val="none" w:sz="0" w:space="0" w:color="auto"/>
      </w:divBdr>
    </w:div>
    <w:div w:id="1144079866">
      <w:bodyDiv w:val="1"/>
      <w:marLeft w:val="0"/>
      <w:marRight w:val="0"/>
      <w:marTop w:val="0"/>
      <w:marBottom w:val="0"/>
      <w:divBdr>
        <w:top w:val="none" w:sz="0" w:space="0" w:color="auto"/>
        <w:left w:val="none" w:sz="0" w:space="0" w:color="auto"/>
        <w:bottom w:val="none" w:sz="0" w:space="0" w:color="auto"/>
        <w:right w:val="none" w:sz="0" w:space="0" w:color="auto"/>
      </w:divBdr>
    </w:div>
    <w:div w:id="1145242041">
      <w:bodyDiv w:val="1"/>
      <w:marLeft w:val="0"/>
      <w:marRight w:val="0"/>
      <w:marTop w:val="0"/>
      <w:marBottom w:val="0"/>
      <w:divBdr>
        <w:top w:val="none" w:sz="0" w:space="0" w:color="auto"/>
        <w:left w:val="none" w:sz="0" w:space="0" w:color="auto"/>
        <w:bottom w:val="none" w:sz="0" w:space="0" w:color="auto"/>
        <w:right w:val="none" w:sz="0" w:space="0" w:color="auto"/>
      </w:divBdr>
    </w:div>
    <w:div w:id="1162237202">
      <w:bodyDiv w:val="1"/>
      <w:marLeft w:val="0"/>
      <w:marRight w:val="0"/>
      <w:marTop w:val="0"/>
      <w:marBottom w:val="0"/>
      <w:divBdr>
        <w:top w:val="none" w:sz="0" w:space="0" w:color="auto"/>
        <w:left w:val="none" w:sz="0" w:space="0" w:color="auto"/>
        <w:bottom w:val="none" w:sz="0" w:space="0" w:color="auto"/>
        <w:right w:val="none" w:sz="0" w:space="0" w:color="auto"/>
      </w:divBdr>
    </w:div>
    <w:div w:id="1163861013">
      <w:bodyDiv w:val="1"/>
      <w:marLeft w:val="0"/>
      <w:marRight w:val="0"/>
      <w:marTop w:val="0"/>
      <w:marBottom w:val="0"/>
      <w:divBdr>
        <w:top w:val="none" w:sz="0" w:space="0" w:color="auto"/>
        <w:left w:val="none" w:sz="0" w:space="0" w:color="auto"/>
        <w:bottom w:val="none" w:sz="0" w:space="0" w:color="auto"/>
        <w:right w:val="none" w:sz="0" w:space="0" w:color="auto"/>
      </w:divBdr>
    </w:div>
    <w:div w:id="1164779147">
      <w:bodyDiv w:val="1"/>
      <w:marLeft w:val="0"/>
      <w:marRight w:val="0"/>
      <w:marTop w:val="0"/>
      <w:marBottom w:val="0"/>
      <w:divBdr>
        <w:top w:val="none" w:sz="0" w:space="0" w:color="auto"/>
        <w:left w:val="none" w:sz="0" w:space="0" w:color="auto"/>
        <w:bottom w:val="none" w:sz="0" w:space="0" w:color="auto"/>
        <w:right w:val="none" w:sz="0" w:space="0" w:color="auto"/>
      </w:divBdr>
    </w:div>
    <w:div w:id="1173765668">
      <w:bodyDiv w:val="1"/>
      <w:marLeft w:val="0"/>
      <w:marRight w:val="0"/>
      <w:marTop w:val="0"/>
      <w:marBottom w:val="0"/>
      <w:divBdr>
        <w:top w:val="none" w:sz="0" w:space="0" w:color="auto"/>
        <w:left w:val="none" w:sz="0" w:space="0" w:color="auto"/>
        <w:bottom w:val="none" w:sz="0" w:space="0" w:color="auto"/>
        <w:right w:val="none" w:sz="0" w:space="0" w:color="auto"/>
      </w:divBdr>
    </w:div>
    <w:div w:id="1176265240">
      <w:bodyDiv w:val="1"/>
      <w:marLeft w:val="0"/>
      <w:marRight w:val="0"/>
      <w:marTop w:val="0"/>
      <w:marBottom w:val="0"/>
      <w:divBdr>
        <w:top w:val="none" w:sz="0" w:space="0" w:color="auto"/>
        <w:left w:val="none" w:sz="0" w:space="0" w:color="auto"/>
        <w:bottom w:val="none" w:sz="0" w:space="0" w:color="auto"/>
        <w:right w:val="none" w:sz="0" w:space="0" w:color="auto"/>
      </w:divBdr>
    </w:div>
    <w:div w:id="1176773048">
      <w:bodyDiv w:val="1"/>
      <w:marLeft w:val="0"/>
      <w:marRight w:val="0"/>
      <w:marTop w:val="0"/>
      <w:marBottom w:val="0"/>
      <w:divBdr>
        <w:top w:val="none" w:sz="0" w:space="0" w:color="auto"/>
        <w:left w:val="none" w:sz="0" w:space="0" w:color="auto"/>
        <w:bottom w:val="none" w:sz="0" w:space="0" w:color="auto"/>
        <w:right w:val="none" w:sz="0" w:space="0" w:color="auto"/>
      </w:divBdr>
    </w:div>
    <w:div w:id="1177770206">
      <w:bodyDiv w:val="1"/>
      <w:marLeft w:val="0"/>
      <w:marRight w:val="0"/>
      <w:marTop w:val="0"/>
      <w:marBottom w:val="0"/>
      <w:divBdr>
        <w:top w:val="none" w:sz="0" w:space="0" w:color="auto"/>
        <w:left w:val="none" w:sz="0" w:space="0" w:color="auto"/>
        <w:bottom w:val="none" w:sz="0" w:space="0" w:color="auto"/>
        <w:right w:val="none" w:sz="0" w:space="0" w:color="auto"/>
      </w:divBdr>
    </w:div>
    <w:div w:id="1181966975">
      <w:bodyDiv w:val="1"/>
      <w:marLeft w:val="0"/>
      <w:marRight w:val="0"/>
      <w:marTop w:val="0"/>
      <w:marBottom w:val="0"/>
      <w:divBdr>
        <w:top w:val="none" w:sz="0" w:space="0" w:color="auto"/>
        <w:left w:val="none" w:sz="0" w:space="0" w:color="auto"/>
        <w:bottom w:val="none" w:sz="0" w:space="0" w:color="auto"/>
        <w:right w:val="none" w:sz="0" w:space="0" w:color="auto"/>
      </w:divBdr>
    </w:div>
    <w:div w:id="1197354217">
      <w:bodyDiv w:val="1"/>
      <w:marLeft w:val="0"/>
      <w:marRight w:val="0"/>
      <w:marTop w:val="0"/>
      <w:marBottom w:val="0"/>
      <w:divBdr>
        <w:top w:val="none" w:sz="0" w:space="0" w:color="auto"/>
        <w:left w:val="none" w:sz="0" w:space="0" w:color="auto"/>
        <w:bottom w:val="none" w:sz="0" w:space="0" w:color="auto"/>
        <w:right w:val="none" w:sz="0" w:space="0" w:color="auto"/>
      </w:divBdr>
    </w:div>
    <w:div w:id="1198812352">
      <w:bodyDiv w:val="1"/>
      <w:marLeft w:val="0"/>
      <w:marRight w:val="0"/>
      <w:marTop w:val="0"/>
      <w:marBottom w:val="0"/>
      <w:divBdr>
        <w:top w:val="none" w:sz="0" w:space="0" w:color="auto"/>
        <w:left w:val="none" w:sz="0" w:space="0" w:color="auto"/>
        <w:bottom w:val="none" w:sz="0" w:space="0" w:color="auto"/>
        <w:right w:val="none" w:sz="0" w:space="0" w:color="auto"/>
      </w:divBdr>
    </w:div>
    <w:div w:id="1203521187">
      <w:bodyDiv w:val="1"/>
      <w:marLeft w:val="0"/>
      <w:marRight w:val="0"/>
      <w:marTop w:val="0"/>
      <w:marBottom w:val="0"/>
      <w:divBdr>
        <w:top w:val="none" w:sz="0" w:space="0" w:color="auto"/>
        <w:left w:val="none" w:sz="0" w:space="0" w:color="auto"/>
        <w:bottom w:val="none" w:sz="0" w:space="0" w:color="auto"/>
        <w:right w:val="none" w:sz="0" w:space="0" w:color="auto"/>
      </w:divBdr>
    </w:div>
    <w:div w:id="1208449817">
      <w:bodyDiv w:val="1"/>
      <w:marLeft w:val="0"/>
      <w:marRight w:val="0"/>
      <w:marTop w:val="0"/>
      <w:marBottom w:val="0"/>
      <w:divBdr>
        <w:top w:val="none" w:sz="0" w:space="0" w:color="auto"/>
        <w:left w:val="none" w:sz="0" w:space="0" w:color="auto"/>
        <w:bottom w:val="none" w:sz="0" w:space="0" w:color="auto"/>
        <w:right w:val="none" w:sz="0" w:space="0" w:color="auto"/>
      </w:divBdr>
    </w:div>
    <w:div w:id="1208566362">
      <w:bodyDiv w:val="1"/>
      <w:marLeft w:val="0"/>
      <w:marRight w:val="0"/>
      <w:marTop w:val="0"/>
      <w:marBottom w:val="0"/>
      <w:divBdr>
        <w:top w:val="none" w:sz="0" w:space="0" w:color="auto"/>
        <w:left w:val="none" w:sz="0" w:space="0" w:color="auto"/>
        <w:bottom w:val="none" w:sz="0" w:space="0" w:color="auto"/>
        <w:right w:val="none" w:sz="0" w:space="0" w:color="auto"/>
      </w:divBdr>
    </w:div>
    <w:div w:id="1209489873">
      <w:bodyDiv w:val="1"/>
      <w:marLeft w:val="0"/>
      <w:marRight w:val="0"/>
      <w:marTop w:val="0"/>
      <w:marBottom w:val="0"/>
      <w:divBdr>
        <w:top w:val="none" w:sz="0" w:space="0" w:color="auto"/>
        <w:left w:val="none" w:sz="0" w:space="0" w:color="auto"/>
        <w:bottom w:val="none" w:sz="0" w:space="0" w:color="auto"/>
        <w:right w:val="none" w:sz="0" w:space="0" w:color="auto"/>
      </w:divBdr>
    </w:div>
    <w:div w:id="1212038076">
      <w:bodyDiv w:val="1"/>
      <w:marLeft w:val="0"/>
      <w:marRight w:val="0"/>
      <w:marTop w:val="0"/>
      <w:marBottom w:val="0"/>
      <w:divBdr>
        <w:top w:val="none" w:sz="0" w:space="0" w:color="auto"/>
        <w:left w:val="none" w:sz="0" w:space="0" w:color="auto"/>
        <w:bottom w:val="none" w:sz="0" w:space="0" w:color="auto"/>
        <w:right w:val="none" w:sz="0" w:space="0" w:color="auto"/>
      </w:divBdr>
    </w:div>
    <w:div w:id="1227036423">
      <w:bodyDiv w:val="1"/>
      <w:marLeft w:val="0"/>
      <w:marRight w:val="0"/>
      <w:marTop w:val="0"/>
      <w:marBottom w:val="0"/>
      <w:divBdr>
        <w:top w:val="none" w:sz="0" w:space="0" w:color="auto"/>
        <w:left w:val="none" w:sz="0" w:space="0" w:color="auto"/>
        <w:bottom w:val="none" w:sz="0" w:space="0" w:color="auto"/>
        <w:right w:val="none" w:sz="0" w:space="0" w:color="auto"/>
      </w:divBdr>
    </w:div>
    <w:div w:id="1230384140">
      <w:bodyDiv w:val="1"/>
      <w:marLeft w:val="0"/>
      <w:marRight w:val="0"/>
      <w:marTop w:val="0"/>
      <w:marBottom w:val="0"/>
      <w:divBdr>
        <w:top w:val="none" w:sz="0" w:space="0" w:color="auto"/>
        <w:left w:val="none" w:sz="0" w:space="0" w:color="auto"/>
        <w:bottom w:val="none" w:sz="0" w:space="0" w:color="auto"/>
        <w:right w:val="none" w:sz="0" w:space="0" w:color="auto"/>
      </w:divBdr>
    </w:div>
    <w:div w:id="1238243644">
      <w:bodyDiv w:val="1"/>
      <w:marLeft w:val="0"/>
      <w:marRight w:val="0"/>
      <w:marTop w:val="0"/>
      <w:marBottom w:val="0"/>
      <w:divBdr>
        <w:top w:val="none" w:sz="0" w:space="0" w:color="auto"/>
        <w:left w:val="none" w:sz="0" w:space="0" w:color="auto"/>
        <w:bottom w:val="none" w:sz="0" w:space="0" w:color="auto"/>
        <w:right w:val="none" w:sz="0" w:space="0" w:color="auto"/>
      </w:divBdr>
    </w:div>
    <w:div w:id="1240674354">
      <w:bodyDiv w:val="1"/>
      <w:marLeft w:val="0"/>
      <w:marRight w:val="0"/>
      <w:marTop w:val="0"/>
      <w:marBottom w:val="0"/>
      <w:divBdr>
        <w:top w:val="none" w:sz="0" w:space="0" w:color="auto"/>
        <w:left w:val="none" w:sz="0" w:space="0" w:color="auto"/>
        <w:bottom w:val="none" w:sz="0" w:space="0" w:color="auto"/>
        <w:right w:val="none" w:sz="0" w:space="0" w:color="auto"/>
      </w:divBdr>
    </w:div>
    <w:div w:id="1246498731">
      <w:bodyDiv w:val="1"/>
      <w:marLeft w:val="0"/>
      <w:marRight w:val="0"/>
      <w:marTop w:val="0"/>
      <w:marBottom w:val="0"/>
      <w:divBdr>
        <w:top w:val="none" w:sz="0" w:space="0" w:color="auto"/>
        <w:left w:val="none" w:sz="0" w:space="0" w:color="auto"/>
        <w:bottom w:val="none" w:sz="0" w:space="0" w:color="auto"/>
        <w:right w:val="none" w:sz="0" w:space="0" w:color="auto"/>
      </w:divBdr>
    </w:div>
    <w:div w:id="1267422303">
      <w:bodyDiv w:val="1"/>
      <w:marLeft w:val="0"/>
      <w:marRight w:val="0"/>
      <w:marTop w:val="0"/>
      <w:marBottom w:val="0"/>
      <w:divBdr>
        <w:top w:val="none" w:sz="0" w:space="0" w:color="auto"/>
        <w:left w:val="none" w:sz="0" w:space="0" w:color="auto"/>
        <w:bottom w:val="none" w:sz="0" w:space="0" w:color="auto"/>
        <w:right w:val="none" w:sz="0" w:space="0" w:color="auto"/>
      </w:divBdr>
    </w:div>
    <w:div w:id="1267925847">
      <w:bodyDiv w:val="1"/>
      <w:marLeft w:val="0"/>
      <w:marRight w:val="0"/>
      <w:marTop w:val="0"/>
      <w:marBottom w:val="0"/>
      <w:divBdr>
        <w:top w:val="none" w:sz="0" w:space="0" w:color="auto"/>
        <w:left w:val="none" w:sz="0" w:space="0" w:color="auto"/>
        <w:bottom w:val="none" w:sz="0" w:space="0" w:color="auto"/>
        <w:right w:val="none" w:sz="0" w:space="0" w:color="auto"/>
      </w:divBdr>
    </w:div>
    <w:div w:id="1277449419">
      <w:bodyDiv w:val="1"/>
      <w:marLeft w:val="0"/>
      <w:marRight w:val="0"/>
      <w:marTop w:val="0"/>
      <w:marBottom w:val="0"/>
      <w:divBdr>
        <w:top w:val="none" w:sz="0" w:space="0" w:color="auto"/>
        <w:left w:val="none" w:sz="0" w:space="0" w:color="auto"/>
        <w:bottom w:val="none" w:sz="0" w:space="0" w:color="auto"/>
        <w:right w:val="none" w:sz="0" w:space="0" w:color="auto"/>
      </w:divBdr>
    </w:div>
    <w:div w:id="1278368649">
      <w:bodyDiv w:val="1"/>
      <w:marLeft w:val="0"/>
      <w:marRight w:val="0"/>
      <w:marTop w:val="0"/>
      <w:marBottom w:val="0"/>
      <w:divBdr>
        <w:top w:val="none" w:sz="0" w:space="0" w:color="auto"/>
        <w:left w:val="none" w:sz="0" w:space="0" w:color="auto"/>
        <w:bottom w:val="none" w:sz="0" w:space="0" w:color="auto"/>
        <w:right w:val="none" w:sz="0" w:space="0" w:color="auto"/>
      </w:divBdr>
    </w:div>
    <w:div w:id="1284656335">
      <w:bodyDiv w:val="1"/>
      <w:marLeft w:val="0"/>
      <w:marRight w:val="0"/>
      <w:marTop w:val="0"/>
      <w:marBottom w:val="0"/>
      <w:divBdr>
        <w:top w:val="none" w:sz="0" w:space="0" w:color="auto"/>
        <w:left w:val="none" w:sz="0" w:space="0" w:color="auto"/>
        <w:bottom w:val="none" w:sz="0" w:space="0" w:color="auto"/>
        <w:right w:val="none" w:sz="0" w:space="0" w:color="auto"/>
      </w:divBdr>
    </w:div>
    <w:div w:id="1303274515">
      <w:bodyDiv w:val="1"/>
      <w:marLeft w:val="0"/>
      <w:marRight w:val="0"/>
      <w:marTop w:val="0"/>
      <w:marBottom w:val="0"/>
      <w:divBdr>
        <w:top w:val="none" w:sz="0" w:space="0" w:color="auto"/>
        <w:left w:val="none" w:sz="0" w:space="0" w:color="auto"/>
        <w:bottom w:val="none" w:sz="0" w:space="0" w:color="auto"/>
        <w:right w:val="none" w:sz="0" w:space="0" w:color="auto"/>
      </w:divBdr>
    </w:div>
    <w:div w:id="1311128394">
      <w:bodyDiv w:val="1"/>
      <w:marLeft w:val="0"/>
      <w:marRight w:val="0"/>
      <w:marTop w:val="0"/>
      <w:marBottom w:val="0"/>
      <w:divBdr>
        <w:top w:val="none" w:sz="0" w:space="0" w:color="auto"/>
        <w:left w:val="none" w:sz="0" w:space="0" w:color="auto"/>
        <w:bottom w:val="none" w:sz="0" w:space="0" w:color="auto"/>
        <w:right w:val="none" w:sz="0" w:space="0" w:color="auto"/>
      </w:divBdr>
    </w:div>
    <w:div w:id="1326013904">
      <w:bodyDiv w:val="1"/>
      <w:marLeft w:val="0"/>
      <w:marRight w:val="0"/>
      <w:marTop w:val="0"/>
      <w:marBottom w:val="0"/>
      <w:divBdr>
        <w:top w:val="none" w:sz="0" w:space="0" w:color="auto"/>
        <w:left w:val="none" w:sz="0" w:space="0" w:color="auto"/>
        <w:bottom w:val="none" w:sz="0" w:space="0" w:color="auto"/>
        <w:right w:val="none" w:sz="0" w:space="0" w:color="auto"/>
      </w:divBdr>
    </w:div>
    <w:div w:id="1329745679">
      <w:bodyDiv w:val="1"/>
      <w:marLeft w:val="0"/>
      <w:marRight w:val="0"/>
      <w:marTop w:val="0"/>
      <w:marBottom w:val="0"/>
      <w:divBdr>
        <w:top w:val="none" w:sz="0" w:space="0" w:color="auto"/>
        <w:left w:val="none" w:sz="0" w:space="0" w:color="auto"/>
        <w:bottom w:val="none" w:sz="0" w:space="0" w:color="auto"/>
        <w:right w:val="none" w:sz="0" w:space="0" w:color="auto"/>
      </w:divBdr>
    </w:div>
    <w:div w:id="1333337950">
      <w:bodyDiv w:val="1"/>
      <w:marLeft w:val="0"/>
      <w:marRight w:val="0"/>
      <w:marTop w:val="0"/>
      <w:marBottom w:val="0"/>
      <w:divBdr>
        <w:top w:val="none" w:sz="0" w:space="0" w:color="auto"/>
        <w:left w:val="none" w:sz="0" w:space="0" w:color="auto"/>
        <w:bottom w:val="none" w:sz="0" w:space="0" w:color="auto"/>
        <w:right w:val="none" w:sz="0" w:space="0" w:color="auto"/>
      </w:divBdr>
    </w:div>
    <w:div w:id="1336038021">
      <w:bodyDiv w:val="1"/>
      <w:marLeft w:val="0"/>
      <w:marRight w:val="0"/>
      <w:marTop w:val="0"/>
      <w:marBottom w:val="0"/>
      <w:divBdr>
        <w:top w:val="none" w:sz="0" w:space="0" w:color="auto"/>
        <w:left w:val="none" w:sz="0" w:space="0" w:color="auto"/>
        <w:bottom w:val="none" w:sz="0" w:space="0" w:color="auto"/>
        <w:right w:val="none" w:sz="0" w:space="0" w:color="auto"/>
      </w:divBdr>
    </w:div>
    <w:div w:id="1338193170">
      <w:bodyDiv w:val="1"/>
      <w:marLeft w:val="0"/>
      <w:marRight w:val="0"/>
      <w:marTop w:val="0"/>
      <w:marBottom w:val="0"/>
      <w:divBdr>
        <w:top w:val="none" w:sz="0" w:space="0" w:color="auto"/>
        <w:left w:val="none" w:sz="0" w:space="0" w:color="auto"/>
        <w:bottom w:val="none" w:sz="0" w:space="0" w:color="auto"/>
        <w:right w:val="none" w:sz="0" w:space="0" w:color="auto"/>
      </w:divBdr>
    </w:div>
    <w:div w:id="1340814910">
      <w:bodyDiv w:val="1"/>
      <w:marLeft w:val="0"/>
      <w:marRight w:val="0"/>
      <w:marTop w:val="0"/>
      <w:marBottom w:val="0"/>
      <w:divBdr>
        <w:top w:val="none" w:sz="0" w:space="0" w:color="auto"/>
        <w:left w:val="none" w:sz="0" w:space="0" w:color="auto"/>
        <w:bottom w:val="none" w:sz="0" w:space="0" w:color="auto"/>
        <w:right w:val="none" w:sz="0" w:space="0" w:color="auto"/>
      </w:divBdr>
    </w:div>
    <w:div w:id="1343818209">
      <w:bodyDiv w:val="1"/>
      <w:marLeft w:val="0"/>
      <w:marRight w:val="0"/>
      <w:marTop w:val="0"/>
      <w:marBottom w:val="0"/>
      <w:divBdr>
        <w:top w:val="none" w:sz="0" w:space="0" w:color="auto"/>
        <w:left w:val="none" w:sz="0" w:space="0" w:color="auto"/>
        <w:bottom w:val="none" w:sz="0" w:space="0" w:color="auto"/>
        <w:right w:val="none" w:sz="0" w:space="0" w:color="auto"/>
      </w:divBdr>
    </w:div>
    <w:div w:id="1346710727">
      <w:bodyDiv w:val="1"/>
      <w:marLeft w:val="0"/>
      <w:marRight w:val="0"/>
      <w:marTop w:val="0"/>
      <w:marBottom w:val="0"/>
      <w:divBdr>
        <w:top w:val="none" w:sz="0" w:space="0" w:color="auto"/>
        <w:left w:val="none" w:sz="0" w:space="0" w:color="auto"/>
        <w:bottom w:val="none" w:sz="0" w:space="0" w:color="auto"/>
        <w:right w:val="none" w:sz="0" w:space="0" w:color="auto"/>
      </w:divBdr>
    </w:div>
    <w:div w:id="1354111158">
      <w:bodyDiv w:val="1"/>
      <w:marLeft w:val="0"/>
      <w:marRight w:val="0"/>
      <w:marTop w:val="0"/>
      <w:marBottom w:val="0"/>
      <w:divBdr>
        <w:top w:val="none" w:sz="0" w:space="0" w:color="auto"/>
        <w:left w:val="none" w:sz="0" w:space="0" w:color="auto"/>
        <w:bottom w:val="none" w:sz="0" w:space="0" w:color="auto"/>
        <w:right w:val="none" w:sz="0" w:space="0" w:color="auto"/>
      </w:divBdr>
    </w:div>
    <w:div w:id="1363089698">
      <w:bodyDiv w:val="1"/>
      <w:marLeft w:val="0"/>
      <w:marRight w:val="0"/>
      <w:marTop w:val="0"/>
      <w:marBottom w:val="0"/>
      <w:divBdr>
        <w:top w:val="none" w:sz="0" w:space="0" w:color="auto"/>
        <w:left w:val="none" w:sz="0" w:space="0" w:color="auto"/>
        <w:bottom w:val="none" w:sz="0" w:space="0" w:color="auto"/>
        <w:right w:val="none" w:sz="0" w:space="0" w:color="auto"/>
      </w:divBdr>
    </w:div>
    <w:div w:id="1366950364">
      <w:bodyDiv w:val="1"/>
      <w:marLeft w:val="0"/>
      <w:marRight w:val="0"/>
      <w:marTop w:val="0"/>
      <w:marBottom w:val="0"/>
      <w:divBdr>
        <w:top w:val="none" w:sz="0" w:space="0" w:color="auto"/>
        <w:left w:val="none" w:sz="0" w:space="0" w:color="auto"/>
        <w:bottom w:val="none" w:sz="0" w:space="0" w:color="auto"/>
        <w:right w:val="none" w:sz="0" w:space="0" w:color="auto"/>
      </w:divBdr>
    </w:div>
    <w:div w:id="1369262770">
      <w:bodyDiv w:val="1"/>
      <w:marLeft w:val="0"/>
      <w:marRight w:val="0"/>
      <w:marTop w:val="0"/>
      <w:marBottom w:val="0"/>
      <w:divBdr>
        <w:top w:val="none" w:sz="0" w:space="0" w:color="auto"/>
        <w:left w:val="none" w:sz="0" w:space="0" w:color="auto"/>
        <w:bottom w:val="none" w:sz="0" w:space="0" w:color="auto"/>
        <w:right w:val="none" w:sz="0" w:space="0" w:color="auto"/>
      </w:divBdr>
    </w:div>
    <w:div w:id="1377244536">
      <w:bodyDiv w:val="1"/>
      <w:marLeft w:val="0"/>
      <w:marRight w:val="0"/>
      <w:marTop w:val="0"/>
      <w:marBottom w:val="0"/>
      <w:divBdr>
        <w:top w:val="none" w:sz="0" w:space="0" w:color="auto"/>
        <w:left w:val="none" w:sz="0" w:space="0" w:color="auto"/>
        <w:bottom w:val="none" w:sz="0" w:space="0" w:color="auto"/>
        <w:right w:val="none" w:sz="0" w:space="0" w:color="auto"/>
      </w:divBdr>
    </w:div>
    <w:div w:id="1377856611">
      <w:bodyDiv w:val="1"/>
      <w:marLeft w:val="0"/>
      <w:marRight w:val="0"/>
      <w:marTop w:val="0"/>
      <w:marBottom w:val="0"/>
      <w:divBdr>
        <w:top w:val="none" w:sz="0" w:space="0" w:color="auto"/>
        <w:left w:val="none" w:sz="0" w:space="0" w:color="auto"/>
        <w:bottom w:val="none" w:sz="0" w:space="0" w:color="auto"/>
        <w:right w:val="none" w:sz="0" w:space="0" w:color="auto"/>
      </w:divBdr>
    </w:div>
    <w:div w:id="1386879025">
      <w:bodyDiv w:val="1"/>
      <w:marLeft w:val="0"/>
      <w:marRight w:val="0"/>
      <w:marTop w:val="0"/>
      <w:marBottom w:val="0"/>
      <w:divBdr>
        <w:top w:val="none" w:sz="0" w:space="0" w:color="auto"/>
        <w:left w:val="none" w:sz="0" w:space="0" w:color="auto"/>
        <w:bottom w:val="none" w:sz="0" w:space="0" w:color="auto"/>
        <w:right w:val="none" w:sz="0" w:space="0" w:color="auto"/>
      </w:divBdr>
    </w:div>
    <w:div w:id="1392583024">
      <w:bodyDiv w:val="1"/>
      <w:marLeft w:val="0"/>
      <w:marRight w:val="0"/>
      <w:marTop w:val="0"/>
      <w:marBottom w:val="0"/>
      <w:divBdr>
        <w:top w:val="none" w:sz="0" w:space="0" w:color="auto"/>
        <w:left w:val="none" w:sz="0" w:space="0" w:color="auto"/>
        <w:bottom w:val="none" w:sz="0" w:space="0" w:color="auto"/>
        <w:right w:val="none" w:sz="0" w:space="0" w:color="auto"/>
      </w:divBdr>
    </w:div>
    <w:div w:id="1400595039">
      <w:bodyDiv w:val="1"/>
      <w:marLeft w:val="0"/>
      <w:marRight w:val="0"/>
      <w:marTop w:val="0"/>
      <w:marBottom w:val="0"/>
      <w:divBdr>
        <w:top w:val="none" w:sz="0" w:space="0" w:color="auto"/>
        <w:left w:val="none" w:sz="0" w:space="0" w:color="auto"/>
        <w:bottom w:val="none" w:sz="0" w:space="0" w:color="auto"/>
        <w:right w:val="none" w:sz="0" w:space="0" w:color="auto"/>
      </w:divBdr>
    </w:div>
    <w:div w:id="1400638653">
      <w:bodyDiv w:val="1"/>
      <w:marLeft w:val="0"/>
      <w:marRight w:val="0"/>
      <w:marTop w:val="0"/>
      <w:marBottom w:val="0"/>
      <w:divBdr>
        <w:top w:val="none" w:sz="0" w:space="0" w:color="auto"/>
        <w:left w:val="none" w:sz="0" w:space="0" w:color="auto"/>
        <w:bottom w:val="none" w:sz="0" w:space="0" w:color="auto"/>
        <w:right w:val="none" w:sz="0" w:space="0" w:color="auto"/>
      </w:divBdr>
    </w:div>
    <w:div w:id="1401824580">
      <w:bodyDiv w:val="1"/>
      <w:marLeft w:val="0"/>
      <w:marRight w:val="0"/>
      <w:marTop w:val="0"/>
      <w:marBottom w:val="0"/>
      <w:divBdr>
        <w:top w:val="none" w:sz="0" w:space="0" w:color="auto"/>
        <w:left w:val="none" w:sz="0" w:space="0" w:color="auto"/>
        <w:bottom w:val="none" w:sz="0" w:space="0" w:color="auto"/>
        <w:right w:val="none" w:sz="0" w:space="0" w:color="auto"/>
      </w:divBdr>
    </w:div>
    <w:div w:id="1406805499">
      <w:bodyDiv w:val="1"/>
      <w:marLeft w:val="0"/>
      <w:marRight w:val="0"/>
      <w:marTop w:val="0"/>
      <w:marBottom w:val="0"/>
      <w:divBdr>
        <w:top w:val="none" w:sz="0" w:space="0" w:color="auto"/>
        <w:left w:val="none" w:sz="0" w:space="0" w:color="auto"/>
        <w:bottom w:val="none" w:sz="0" w:space="0" w:color="auto"/>
        <w:right w:val="none" w:sz="0" w:space="0" w:color="auto"/>
      </w:divBdr>
    </w:div>
    <w:div w:id="1412043246">
      <w:bodyDiv w:val="1"/>
      <w:marLeft w:val="0"/>
      <w:marRight w:val="0"/>
      <w:marTop w:val="0"/>
      <w:marBottom w:val="0"/>
      <w:divBdr>
        <w:top w:val="none" w:sz="0" w:space="0" w:color="auto"/>
        <w:left w:val="none" w:sz="0" w:space="0" w:color="auto"/>
        <w:bottom w:val="none" w:sz="0" w:space="0" w:color="auto"/>
        <w:right w:val="none" w:sz="0" w:space="0" w:color="auto"/>
      </w:divBdr>
    </w:div>
    <w:div w:id="1418209596">
      <w:bodyDiv w:val="1"/>
      <w:marLeft w:val="0"/>
      <w:marRight w:val="0"/>
      <w:marTop w:val="0"/>
      <w:marBottom w:val="0"/>
      <w:divBdr>
        <w:top w:val="none" w:sz="0" w:space="0" w:color="auto"/>
        <w:left w:val="none" w:sz="0" w:space="0" w:color="auto"/>
        <w:bottom w:val="none" w:sz="0" w:space="0" w:color="auto"/>
        <w:right w:val="none" w:sz="0" w:space="0" w:color="auto"/>
      </w:divBdr>
    </w:div>
    <w:div w:id="1427506815">
      <w:bodyDiv w:val="1"/>
      <w:marLeft w:val="0"/>
      <w:marRight w:val="0"/>
      <w:marTop w:val="0"/>
      <w:marBottom w:val="0"/>
      <w:divBdr>
        <w:top w:val="none" w:sz="0" w:space="0" w:color="auto"/>
        <w:left w:val="none" w:sz="0" w:space="0" w:color="auto"/>
        <w:bottom w:val="none" w:sz="0" w:space="0" w:color="auto"/>
        <w:right w:val="none" w:sz="0" w:space="0" w:color="auto"/>
      </w:divBdr>
    </w:div>
    <w:div w:id="1440488665">
      <w:bodyDiv w:val="1"/>
      <w:marLeft w:val="0"/>
      <w:marRight w:val="0"/>
      <w:marTop w:val="0"/>
      <w:marBottom w:val="0"/>
      <w:divBdr>
        <w:top w:val="none" w:sz="0" w:space="0" w:color="auto"/>
        <w:left w:val="none" w:sz="0" w:space="0" w:color="auto"/>
        <w:bottom w:val="none" w:sz="0" w:space="0" w:color="auto"/>
        <w:right w:val="none" w:sz="0" w:space="0" w:color="auto"/>
      </w:divBdr>
    </w:div>
    <w:div w:id="1446732830">
      <w:bodyDiv w:val="1"/>
      <w:marLeft w:val="0"/>
      <w:marRight w:val="0"/>
      <w:marTop w:val="0"/>
      <w:marBottom w:val="0"/>
      <w:divBdr>
        <w:top w:val="none" w:sz="0" w:space="0" w:color="auto"/>
        <w:left w:val="none" w:sz="0" w:space="0" w:color="auto"/>
        <w:bottom w:val="none" w:sz="0" w:space="0" w:color="auto"/>
        <w:right w:val="none" w:sz="0" w:space="0" w:color="auto"/>
      </w:divBdr>
    </w:div>
    <w:div w:id="1455558154">
      <w:bodyDiv w:val="1"/>
      <w:marLeft w:val="0"/>
      <w:marRight w:val="0"/>
      <w:marTop w:val="0"/>
      <w:marBottom w:val="0"/>
      <w:divBdr>
        <w:top w:val="none" w:sz="0" w:space="0" w:color="auto"/>
        <w:left w:val="none" w:sz="0" w:space="0" w:color="auto"/>
        <w:bottom w:val="none" w:sz="0" w:space="0" w:color="auto"/>
        <w:right w:val="none" w:sz="0" w:space="0" w:color="auto"/>
      </w:divBdr>
    </w:div>
    <w:div w:id="1457405268">
      <w:bodyDiv w:val="1"/>
      <w:marLeft w:val="0"/>
      <w:marRight w:val="0"/>
      <w:marTop w:val="0"/>
      <w:marBottom w:val="0"/>
      <w:divBdr>
        <w:top w:val="none" w:sz="0" w:space="0" w:color="auto"/>
        <w:left w:val="none" w:sz="0" w:space="0" w:color="auto"/>
        <w:bottom w:val="none" w:sz="0" w:space="0" w:color="auto"/>
        <w:right w:val="none" w:sz="0" w:space="0" w:color="auto"/>
      </w:divBdr>
    </w:div>
    <w:div w:id="1461723620">
      <w:bodyDiv w:val="1"/>
      <w:marLeft w:val="0"/>
      <w:marRight w:val="0"/>
      <w:marTop w:val="0"/>
      <w:marBottom w:val="0"/>
      <w:divBdr>
        <w:top w:val="none" w:sz="0" w:space="0" w:color="auto"/>
        <w:left w:val="none" w:sz="0" w:space="0" w:color="auto"/>
        <w:bottom w:val="none" w:sz="0" w:space="0" w:color="auto"/>
        <w:right w:val="none" w:sz="0" w:space="0" w:color="auto"/>
      </w:divBdr>
    </w:div>
    <w:div w:id="1463767590">
      <w:bodyDiv w:val="1"/>
      <w:marLeft w:val="0"/>
      <w:marRight w:val="0"/>
      <w:marTop w:val="0"/>
      <w:marBottom w:val="0"/>
      <w:divBdr>
        <w:top w:val="none" w:sz="0" w:space="0" w:color="auto"/>
        <w:left w:val="none" w:sz="0" w:space="0" w:color="auto"/>
        <w:bottom w:val="none" w:sz="0" w:space="0" w:color="auto"/>
        <w:right w:val="none" w:sz="0" w:space="0" w:color="auto"/>
      </w:divBdr>
    </w:div>
    <w:div w:id="1480344987">
      <w:bodyDiv w:val="1"/>
      <w:marLeft w:val="0"/>
      <w:marRight w:val="0"/>
      <w:marTop w:val="0"/>
      <w:marBottom w:val="0"/>
      <w:divBdr>
        <w:top w:val="none" w:sz="0" w:space="0" w:color="auto"/>
        <w:left w:val="none" w:sz="0" w:space="0" w:color="auto"/>
        <w:bottom w:val="none" w:sz="0" w:space="0" w:color="auto"/>
        <w:right w:val="none" w:sz="0" w:space="0" w:color="auto"/>
      </w:divBdr>
    </w:div>
    <w:div w:id="1482505889">
      <w:bodyDiv w:val="1"/>
      <w:marLeft w:val="0"/>
      <w:marRight w:val="0"/>
      <w:marTop w:val="0"/>
      <w:marBottom w:val="0"/>
      <w:divBdr>
        <w:top w:val="none" w:sz="0" w:space="0" w:color="auto"/>
        <w:left w:val="none" w:sz="0" w:space="0" w:color="auto"/>
        <w:bottom w:val="none" w:sz="0" w:space="0" w:color="auto"/>
        <w:right w:val="none" w:sz="0" w:space="0" w:color="auto"/>
      </w:divBdr>
    </w:div>
    <w:div w:id="1484855240">
      <w:bodyDiv w:val="1"/>
      <w:marLeft w:val="0"/>
      <w:marRight w:val="0"/>
      <w:marTop w:val="0"/>
      <w:marBottom w:val="0"/>
      <w:divBdr>
        <w:top w:val="none" w:sz="0" w:space="0" w:color="auto"/>
        <w:left w:val="none" w:sz="0" w:space="0" w:color="auto"/>
        <w:bottom w:val="none" w:sz="0" w:space="0" w:color="auto"/>
        <w:right w:val="none" w:sz="0" w:space="0" w:color="auto"/>
      </w:divBdr>
    </w:div>
    <w:div w:id="1488084052">
      <w:bodyDiv w:val="1"/>
      <w:marLeft w:val="0"/>
      <w:marRight w:val="0"/>
      <w:marTop w:val="0"/>
      <w:marBottom w:val="0"/>
      <w:divBdr>
        <w:top w:val="none" w:sz="0" w:space="0" w:color="auto"/>
        <w:left w:val="none" w:sz="0" w:space="0" w:color="auto"/>
        <w:bottom w:val="none" w:sz="0" w:space="0" w:color="auto"/>
        <w:right w:val="none" w:sz="0" w:space="0" w:color="auto"/>
      </w:divBdr>
    </w:div>
    <w:div w:id="1493327747">
      <w:bodyDiv w:val="1"/>
      <w:marLeft w:val="0"/>
      <w:marRight w:val="0"/>
      <w:marTop w:val="0"/>
      <w:marBottom w:val="0"/>
      <w:divBdr>
        <w:top w:val="none" w:sz="0" w:space="0" w:color="auto"/>
        <w:left w:val="none" w:sz="0" w:space="0" w:color="auto"/>
        <w:bottom w:val="none" w:sz="0" w:space="0" w:color="auto"/>
        <w:right w:val="none" w:sz="0" w:space="0" w:color="auto"/>
      </w:divBdr>
    </w:div>
    <w:div w:id="1496341979">
      <w:bodyDiv w:val="1"/>
      <w:marLeft w:val="0"/>
      <w:marRight w:val="0"/>
      <w:marTop w:val="0"/>
      <w:marBottom w:val="0"/>
      <w:divBdr>
        <w:top w:val="none" w:sz="0" w:space="0" w:color="auto"/>
        <w:left w:val="none" w:sz="0" w:space="0" w:color="auto"/>
        <w:bottom w:val="none" w:sz="0" w:space="0" w:color="auto"/>
        <w:right w:val="none" w:sz="0" w:space="0" w:color="auto"/>
      </w:divBdr>
    </w:div>
    <w:div w:id="1510408318">
      <w:bodyDiv w:val="1"/>
      <w:marLeft w:val="0"/>
      <w:marRight w:val="0"/>
      <w:marTop w:val="0"/>
      <w:marBottom w:val="0"/>
      <w:divBdr>
        <w:top w:val="none" w:sz="0" w:space="0" w:color="auto"/>
        <w:left w:val="none" w:sz="0" w:space="0" w:color="auto"/>
        <w:bottom w:val="none" w:sz="0" w:space="0" w:color="auto"/>
        <w:right w:val="none" w:sz="0" w:space="0" w:color="auto"/>
      </w:divBdr>
    </w:div>
    <w:div w:id="1514615318">
      <w:bodyDiv w:val="1"/>
      <w:marLeft w:val="0"/>
      <w:marRight w:val="0"/>
      <w:marTop w:val="0"/>
      <w:marBottom w:val="0"/>
      <w:divBdr>
        <w:top w:val="none" w:sz="0" w:space="0" w:color="auto"/>
        <w:left w:val="none" w:sz="0" w:space="0" w:color="auto"/>
        <w:bottom w:val="none" w:sz="0" w:space="0" w:color="auto"/>
        <w:right w:val="none" w:sz="0" w:space="0" w:color="auto"/>
      </w:divBdr>
    </w:div>
    <w:div w:id="1516457875">
      <w:bodyDiv w:val="1"/>
      <w:marLeft w:val="0"/>
      <w:marRight w:val="0"/>
      <w:marTop w:val="0"/>
      <w:marBottom w:val="0"/>
      <w:divBdr>
        <w:top w:val="none" w:sz="0" w:space="0" w:color="auto"/>
        <w:left w:val="none" w:sz="0" w:space="0" w:color="auto"/>
        <w:bottom w:val="none" w:sz="0" w:space="0" w:color="auto"/>
        <w:right w:val="none" w:sz="0" w:space="0" w:color="auto"/>
      </w:divBdr>
    </w:div>
    <w:div w:id="1518500583">
      <w:bodyDiv w:val="1"/>
      <w:marLeft w:val="0"/>
      <w:marRight w:val="0"/>
      <w:marTop w:val="0"/>
      <w:marBottom w:val="0"/>
      <w:divBdr>
        <w:top w:val="none" w:sz="0" w:space="0" w:color="auto"/>
        <w:left w:val="none" w:sz="0" w:space="0" w:color="auto"/>
        <w:bottom w:val="none" w:sz="0" w:space="0" w:color="auto"/>
        <w:right w:val="none" w:sz="0" w:space="0" w:color="auto"/>
      </w:divBdr>
    </w:div>
    <w:div w:id="1525556992">
      <w:bodyDiv w:val="1"/>
      <w:marLeft w:val="0"/>
      <w:marRight w:val="0"/>
      <w:marTop w:val="0"/>
      <w:marBottom w:val="0"/>
      <w:divBdr>
        <w:top w:val="none" w:sz="0" w:space="0" w:color="auto"/>
        <w:left w:val="none" w:sz="0" w:space="0" w:color="auto"/>
        <w:bottom w:val="none" w:sz="0" w:space="0" w:color="auto"/>
        <w:right w:val="none" w:sz="0" w:space="0" w:color="auto"/>
      </w:divBdr>
    </w:div>
    <w:div w:id="1530411405">
      <w:bodyDiv w:val="1"/>
      <w:marLeft w:val="0"/>
      <w:marRight w:val="0"/>
      <w:marTop w:val="0"/>
      <w:marBottom w:val="0"/>
      <w:divBdr>
        <w:top w:val="none" w:sz="0" w:space="0" w:color="auto"/>
        <w:left w:val="none" w:sz="0" w:space="0" w:color="auto"/>
        <w:bottom w:val="none" w:sz="0" w:space="0" w:color="auto"/>
        <w:right w:val="none" w:sz="0" w:space="0" w:color="auto"/>
      </w:divBdr>
    </w:div>
    <w:div w:id="1530754747">
      <w:bodyDiv w:val="1"/>
      <w:marLeft w:val="0"/>
      <w:marRight w:val="0"/>
      <w:marTop w:val="0"/>
      <w:marBottom w:val="0"/>
      <w:divBdr>
        <w:top w:val="none" w:sz="0" w:space="0" w:color="auto"/>
        <w:left w:val="none" w:sz="0" w:space="0" w:color="auto"/>
        <w:bottom w:val="none" w:sz="0" w:space="0" w:color="auto"/>
        <w:right w:val="none" w:sz="0" w:space="0" w:color="auto"/>
      </w:divBdr>
    </w:div>
    <w:div w:id="1533959966">
      <w:bodyDiv w:val="1"/>
      <w:marLeft w:val="0"/>
      <w:marRight w:val="0"/>
      <w:marTop w:val="0"/>
      <w:marBottom w:val="0"/>
      <w:divBdr>
        <w:top w:val="none" w:sz="0" w:space="0" w:color="auto"/>
        <w:left w:val="none" w:sz="0" w:space="0" w:color="auto"/>
        <w:bottom w:val="none" w:sz="0" w:space="0" w:color="auto"/>
        <w:right w:val="none" w:sz="0" w:space="0" w:color="auto"/>
      </w:divBdr>
    </w:div>
    <w:div w:id="1538589562">
      <w:bodyDiv w:val="1"/>
      <w:marLeft w:val="0"/>
      <w:marRight w:val="0"/>
      <w:marTop w:val="0"/>
      <w:marBottom w:val="0"/>
      <w:divBdr>
        <w:top w:val="none" w:sz="0" w:space="0" w:color="auto"/>
        <w:left w:val="none" w:sz="0" w:space="0" w:color="auto"/>
        <w:bottom w:val="none" w:sz="0" w:space="0" w:color="auto"/>
        <w:right w:val="none" w:sz="0" w:space="0" w:color="auto"/>
      </w:divBdr>
    </w:div>
    <w:div w:id="1545826905">
      <w:bodyDiv w:val="1"/>
      <w:marLeft w:val="0"/>
      <w:marRight w:val="0"/>
      <w:marTop w:val="0"/>
      <w:marBottom w:val="0"/>
      <w:divBdr>
        <w:top w:val="none" w:sz="0" w:space="0" w:color="auto"/>
        <w:left w:val="none" w:sz="0" w:space="0" w:color="auto"/>
        <w:bottom w:val="none" w:sz="0" w:space="0" w:color="auto"/>
        <w:right w:val="none" w:sz="0" w:space="0" w:color="auto"/>
      </w:divBdr>
    </w:div>
    <w:div w:id="1549410529">
      <w:bodyDiv w:val="1"/>
      <w:marLeft w:val="0"/>
      <w:marRight w:val="0"/>
      <w:marTop w:val="0"/>
      <w:marBottom w:val="0"/>
      <w:divBdr>
        <w:top w:val="none" w:sz="0" w:space="0" w:color="auto"/>
        <w:left w:val="none" w:sz="0" w:space="0" w:color="auto"/>
        <w:bottom w:val="none" w:sz="0" w:space="0" w:color="auto"/>
        <w:right w:val="none" w:sz="0" w:space="0" w:color="auto"/>
      </w:divBdr>
    </w:div>
    <w:div w:id="1556501686">
      <w:bodyDiv w:val="1"/>
      <w:marLeft w:val="0"/>
      <w:marRight w:val="0"/>
      <w:marTop w:val="0"/>
      <w:marBottom w:val="0"/>
      <w:divBdr>
        <w:top w:val="none" w:sz="0" w:space="0" w:color="auto"/>
        <w:left w:val="none" w:sz="0" w:space="0" w:color="auto"/>
        <w:bottom w:val="none" w:sz="0" w:space="0" w:color="auto"/>
        <w:right w:val="none" w:sz="0" w:space="0" w:color="auto"/>
      </w:divBdr>
    </w:div>
    <w:div w:id="1564023073">
      <w:bodyDiv w:val="1"/>
      <w:marLeft w:val="0"/>
      <w:marRight w:val="0"/>
      <w:marTop w:val="0"/>
      <w:marBottom w:val="0"/>
      <w:divBdr>
        <w:top w:val="none" w:sz="0" w:space="0" w:color="auto"/>
        <w:left w:val="none" w:sz="0" w:space="0" w:color="auto"/>
        <w:bottom w:val="none" w:sz="0" w:space="0" w:color="auto"/>
        <w:right w:val="none" w:sz="0" w:space="0" w:color="auto"/>
      </w:divBdr>
    </w:div>
    <w:div w:id="1578709579">
      <w:bodyDiv w:val="1"/>
      <w:marLeft w:val="0"/>
      <w:marRight w:val="0"/>
      <w:marTop w:val="0"/>
      <w:marBottom w:val="0"/>
      <w:divBdr>
        <w:top w:val="none" w:sz="0" w:space="0" w:color="auto"/>
        <w:left w:val="none" w:sz="0" w:space="0" w:color="auto"/>
        <w:bottom w:val="none" w:sz="0" w:space="0" w:color="auto"/>
        <w:right w:val="none" w:sz="0" w:space="0" w:color="auto"/>
      </w:divBdr>
    </w:div>
    <w:div w:id="1578979163">
      <w:bodyDiv w:val="1"/>
      <w:marLeft w:val="0"/>
      <w:marRight w:val="0"/>
      <w:marTop w:val="0"/>
      <w:marBottom w:val="0"/>
      <w:divBdr>
        <w:top w:val="none" w:sz="0" w:space="0" w:color="auto"/>
        <w:left w:val="none" w:sz="0" w:space="0" w:color="auto"/>
        <w:bottom w:val="none" w:sz="0" w:space="0" w:color="auto"/>
        <w:right w:val="none" w:sz="0" w:space="0" w:color="auto"/>
      </w:divBdr>
    </w:div>
    <w:div w:id="1581056562">
      <w:bodyDiv w:val="1"/>
      <w:marLeft w:val="0"/>
      <w:marRight w:val="0"/>
      <w:marTop w:val="0"/>
      <w:marBottom w:val="0"/>
      <w:divBdr>
        <w:top w:val="none" w:sz="0" w:space="0" w:color="auto"/>
        <w:left w:val="none" w:sz="0" w:space="0" w:color="auto"/>
        <w:bottom w:val="none" w:sz="0" w:space="0" w:color="auto"/>
        <w:right w:val="none" w:sz="0" w:space="0" w:color="auto"/>
      </w:divBdr>
    </w:div>
    <w:div w:id="1588031633">
      <w:bodyDiv w:val="1"/>
      <w:marLeft w:val="0"/>
      <w:marRight w:val="0"/>
      <w:marTop w:val="0"/>
      <w:marBottom w:val="0"/>
      <w:divBdr>
        <w:top w:val="none" w:sz="0" w:space="0" w:color="auto"/>
        <w:left w:val="none" w:sz="0" w:space="0" w:color="auto"/>
        <w:bottom w:val="none" w:sz="0" w:space="0" w:color="auto"/>
        <w:right w:val="none" w:sz="0" w:space="0" w:color="auto"/>
      </w:divBdr>
    </w:div>
    <w:div w:id="1590892327">
      <w:bodyDiv w:val="1"/>
      <w:marLeft w:val="0"/>
      <w:marRight w:val="0"/>
      <w:marTop w:val="0"/>
      <w:marBottom w:val="0"/>
      <w:divBdr>
        <w:top w:val="none" w:sz="0" w:space="0" w:color="auto"/>
        <w:left w:val="none" w:sz="0" w:space="0" w:color="auto"/>
        <w:bottom w:val="none" w:sz="0" w:space="0" w:color="auto"/>
        <w:right w:val="none" w:sz="0" w:space="0" w:color="auto"/>
      </w:divBdr>
    </w:div>
    <w:div w:id="1597902108">
      <w:bodyDiv w:val="1"/>
      <w:marLeft w:val="0"/>
      <w:marRight w:val="0"/>
      <w:marTop w:val="0"/>
      <w:marBottom w:val="0"/>
      <w:divBdr>
        <w:top w:val="none" w:sz="0" w:space="0" w:color="auto"/>
        <w:left w:val="none" w:sz="0" w:space="0" w:color="auto"/>
        <w:bottom w:val="none" w:sz="0" w:space="0" w:color="auto"/>
        <w:right w:val="none" w:sz="0" w:space="0" w:color="auto"/>
      </w:divBdr>
    </w:div>
    <w:div w:id="1606303336">
      <w:bodyDiv w:val="1"/>
      <w:marLeft w:val="0"/>
      <w:marRight w:val="0"/>
      <w:marTop w:val="0"/>
      <w:marBottom w:val="0"/>
      <w:divBdr>
        <w:top w:val="none" w:sz="0" w:space="0" w:color="auto"/>
        <w:left w:val="none" w:sz="0" w:space="0" w:color="auto"/>
        <w:bottom w:val="none" w:sz="0" w:space="0" w:color="auto"/>
        <w:right w:val="none" w:sz="0" w:space="0" w:color="auto"/>
      </w:divBdr>
    </w:div>
    <w:div w:id="1611859575">
      <w:bodyDiv w:val="1"/>
      <w:marLeft w:val="0"/>
      <w:marRight w:val="0"/>
      <w:marTop w:val="0"/>
      <w:marBottom w:val="0"/>
      <w:divBdr>
        <w:top w:val="none" w:sz="0" w:space="0" w:color="auto"/>
        <w:left w:val="none" w:sz="0" w:space="0" w:color="auto"/>
        <w:bottom w:val="none" w:sz="0" w:space="0" w:color="auto"/>
        <w:right w:val="none" w:sz="0" w:space="0" w:color="auto"/>
      </w:divBdr>
    </w:div>
    <w:div w:id="1629705901">
      <w:bodyDiv w:val="1"/>
      <w:marLeft w:val="0"/>
      <w:marRight w:val="0"/>
      <w:marTop w:val="0"/>
      <w:marBottom w:val="0"/>
      <w:divBdr>
        <w:top w:val="none" w:sz="0" w:space="0" w:color="auto"/>
        <w:left w:val="none" w:sz="0" w:space="0" w:color="auto"/>
        <w:bottom w:val="none" w:sz="0" w:space="0" w:color="auto"/>
        <w:right w:val="none" w:sz="0" w:space="0" w:color="auto"/>
      </w:divBdr>
    </w:div>
    <w:div w:id="1630936692">
      <w:bodyDiv w:val="1"/>
      <w:marLeft w:val="0"/>
      <w:marRight w:val="0"/>
      <w:marTop w:val="0"/>
      <w:marBottom w:val="0"/>
      <w:divBdr>
        <w:top w:val="none" w:sz="0" w:space="0" w:color="auto"/>
        <w:left w:val="none" w:sz="0" w:space="0" w:color="auto"/>
        <w:bottom w:val="none" w:sz="0" w:space="0" w:color="auto"/>
        <w:right w:val="none" w:sz="0" w:space="0" w:color="auto"/>
      </w:divBdr>
    </w:div>
    <w:div w:id="1641963211">
      <w:bodyDiv w:val="1"/>
      <w:marLeft w:val="0"/>
      <w:marRight w:val="0"/>
      <w:marTop w:val="0"/>
      <w:marBottom w:val="0"/>
      <w:divBdr>
        <w:top w:val="none" w:sz="0" w:space="0" w:color="auto"/>
        <w:left w:val="none" w:sz="0" w:space="0" w:color="auto"/>
        <w:bottom w:val="none" w:sz="0" w:space="0" w:color="auto"/>
        <w:right w:val="none" w:sz="0" w:space="0" w:color="auto"/>
      </w:divBdr>
    </w:div>
    <w:div w:id="1648509397">
      <w:bodyDiv w:val="1"/>
      <w:marLeft w:val="0"/>
      <w:marRight w:val="0"/>
      <w:marTop w:val="0"/>
      <w:marBottom w:val="0"/>
      <w:divBdr>
        <w:top w:val="none" w:sz="0" w:space="0" w:color="auto"/>
        <w:left w:val="none" w:sz="0" w:space="0" w:color="auto"/>
        <w:bottom w:val="none" w:sz="0" w:space="0" w:color="auto"/>
        <w:right w:val="none" w:sz="0" w:space="0" w:color="auto"/>
      </w:divBdr>
    </w:div>
    <w:div w:id="1659461662">
      <w:bodyDiv w:val="1"/>
      <w:marLeft w:val="0"/>
      <w:marRight w:val="0"/>
      <w:marTop w:val="0"/>
      <w:marBottom w:val="0"/>
      <w:divBdr>
        <w:top w:val="none" w:sz="0" w:space="0" w:color="auto"/>
        <w:left w:val="none" w:sz="0" w:space="0" w:color="auto"/>
        <w:bottom w:val="none" w:sz="0" w:space="0" w:color="auto"/>
        <w:right w:val="none" w:sz="0" w:space="0" w:color="auto"/>
      </w:divBdr>
    </w:div>
    <w:div w:id="1662196242">
      <w:bodyDiv w:val="1"/>
      <w:marLeft w:val="0"/>
      <w:marRight w:val="0"/>
      <w:marTop w:val="0"/>
      <w:marBottom w:val="0"/>
      <w:divBdr>
        <w:top w:val="none" w:sz="0" w:space="0" w:color="auto"/>
        <w:left w:val="none" w:sz="0" w:space="0" w:color="auto"/>
        <w:bottom w:val="none" w:sz="0" w:space="0" w:color="auto"/>
        <w:right w:val="none" w:sz="0" w:space="0" w:color="auto"/>
      </w:divBdr>
    </w:div>
    <w:div w:id="1683622531">
      <w:bodyDiv w:val="1"/>
      <w:marLeft w:val="0"/>
      <w:marRight w:val="0"/>
      <w:marTop w:val="0"/>
      <w:marBottom w:val="0"/>
      <w:divBdr>
        <w:top w:val="none" w:sz="0" w:space="0" w:color="auto"/>
        <w:left w:val="none" w:sz="0" w:space="0" w:color="auto"/>
        <w:bottom w:val="none" w:sz="0" w:space="0" w:color="auto"/>
        <w:right w:val="none" w:sz="0" w:space="0" w:color="auto"/>
      </w:divBdr>
    </w:div>
    <w:div w:id="1687903503">
      <w:bodyDiv w:val="1"/>
      <w:marLeft w:val="0"/>
      <w:marRight w:val="0"/>
      <w:marTop w:val="0"/>
      <w:marBottom w:val="0"/>
      <w:divBdr>
        <w:top w:val="none" w:sz="0" w:space="0" w:color="auto"/>
        <w:left w:val="none" w:sz="0" w:space="0" w:color="auto"/>
        <w:bottom w:val="none" w:sz="0" w:space="0" w:color="auto"/>
        <w:right w:val="none" w:sz="0" w:space="0" w:color="auto"/>
      </w:divBdr>
    </w:div>
    <w:div w:id="1708943992">
      <w:bodyDiv w:val="1"/>
      <w:marLeft w:val="0"/>
      <w:marRight w:val="0"/>
      <w:marTop w:val="0"/>
      <w:marBottom w:val="0"/>
      <w:divBdr>
        <w:top w:val="none" w:sz="0" w:space="0" w:color="auto"/>
        <w:left w:val="none" w:sz="0" w:space="0" w:color="auto"/>
        <w:bottom w:val="none" w:sz="0" w:space="0" w:color="auto"/>
        <w:right w:val="none" w:sz="0" w:space="0" w:color="auto"/>
      </w:divBdr>
    </w:div>
    <w:div w:id="1712344081">
      <w:bodyDiv w:val="1"/>
      <w:marLeft w:val="0"/>
      <w:marRight w:val="0"/>
      <w:marTop w:val="0"/>
      <w:marBottom w:val="0"/>
      <w:divBdr>
        <w:top w:val="none" w:sz="0" w:space="0" w:color="auto"/>
        <w:left w:val="none" w:sz="0" w:space="0" w:color="auto"/>
        <w:bottom w:val="none" w:sz="0" w:space="0" w:color="auto"/>
        <w:right w:val="none" w:sz="0" w:space="0" w:color="auto"/>
      </w:divBdr>
    </w:div>
    <w:div w:id="1724020889">
      <w:bodyDiv w:val="1"/>
      <w:marLeft w:val="0"/>
      <w:marRight w:val="0"/>
      <w:marTop w:val="0"/>
      <w:marBottom w:val="0"/>
      <w:divBdr>
        <w:top w:val="none" w:sz="0" w:space="0" w:color="auto"/>
        <w:left w:val="none" w:sz="0" w:space="0" w:color="auto"/>
        <w:bottom w:val="none" w:sz="0" w:space="0" w:color="auto"/>
        <w:right w:val="none" w:sz="0" w:space="0" w:color="auto"/>
      </w:divBdr>
    </w:div>
    <w:div w:id="1729841597">
      <w:bodyDiv w:val="1"/>
      <w:marLeft w:val="0"/>
      <w:marRight w:val="0"/>
      <w:marTop w:val="0"/>
      <w:marBottom w:val="0"/>
      <w:divBdr>
        <w:top w:val="none" w:sz="0" w:space="0" w:color="auto"/>
        <w:left w:val="none" w:sz="0" w:space="0" w:color="auto"/>
        <w:bottom w:val="none" w:sz="0" w:space="0" w:color="auto"/>
        <w:right w:val="none" w:sz="0" w:space="0" w:color="auto"/>
      </w:divBdr>
    </w:div>
    <w:div w:id="1737623264">
      <w:bodyDiv w:val="1"/>
      <w:marLeft w:val="0"/>
      <w:marRight w:val="0"/>
      <w:marTop w:val="0"/>
      <w:marBottom w:val="0"/>
      <w:divBdr>
        <w:top w:val="none" w:sz="0" w:space="0" w:color="auto"/>
        <w:left w:val="none" w:sz="0" w:space="0" w:color="auto"/>
        <w:bottom w:val="none" w:sz="0" w:space="0" w:color="auto"/>
        <w:right w:val="none" w:sz="0" w:space="0" w:color="auto"/>
      </w:divBdr>
    </w:div>
    <w:div w:id="1740470770">
      <w:bodyDiv w:val="1"/>
      <w:marLeft w:val="0"/>
      <w:marRight w:val="0"/>
      <w:marTop w:val="0"/>
      <w:marBottom w:val="0"/>
      <w:divBdr>
        <w:top w:val="none" w:sz="0" w:space="0" w:color="auto"/>
        <w:left w:val="none" w:sz="0" w:space="0" w:color="auto"/>
        <w:bottom w:val="none" w:sz="0" w:space="0" w:color="auto"/>
        <w:right w:val="none" w:sz="0" w:space="0" w:color="auto"/>
      </w:divBdr>
    </w:div>
    <w:div w:id="1748304007">
      <w:bodyDiv w:val="1"/>
      <w:marLeft w:val="0"/>
      <w:marRight w:val="0"/>
      <w:marTop w:val="0"/>
      <w:marBottom w:val="0"/>
      <w:divBdr>
        <w:top w:val="none" w:sz="0" w:space="0" w:color="auto"/>
        <w:left w:val="none" w:sz="0" w:space="0" w:color="auto"/>
        <w:bottom w:val="none" w:sz="0" w:space="0" w:color="auto"/>
        <w:right w:val="none" w:sz="0" w:space="0" w:color="auto"/>
      </w:divBdr>
    </w:div>
    <w:div w:id="1751195134">
      <w:bodyDiv w:val="1"/>
      <w:marLeft w:val="0"/>
      <w:marRight w:val="0"/>
      <w:marTop w:val="0"/>
      <w:marBottom w:val="0"/>
      <w:divBdr>
        <w:top w:val="none" w:sz="0" w:space="0" w:color="auto"/>
        <w:left w:val="none" w:sz="0" w:space="0" w:color="auto"/>
        <w:bottom w:val="none" w:sz="0" w:space="0" w:color="auto"/>
        <w:right w:val="none" w:sz="0" w:space="0" w:color="auto"/>
      </w:divBdr>
    </w:div>
    <w:div w:id="1762094673">
      <w:bodyDiv w:val="1"/>
      <w:marLeft w:val="0"/>
      <w:marRight w:val="0"/>
      <w:marTop w:val="0"/>
      <w:marBottom w:val="0"/>
      <w:divBdr>
        <w:top w:val="none" w:sz="0" w:space="0" w:color="auto"/>
        <w:left w:val="none" w:sz="0" w:space="0" w:color="auto"/>
        <w:bottom w:val="none" w:sz="0" w:space="0" w:color="auto"/>
        <w:right w:val="none" w:sz="0" w:space="0" w:color="auto"/>
      </w:divBdr>
    </w:div>
    <w:div w:id="1762605969">
      <w:bodyDiv w:val="1"/>
      <w:marLeft w:val="0"/>
      <w:marRight w:val="0"/>
      <w:marTop w:val="0"/>
      <w:marBottom w:val="0"/>
      <w:divBdr>
        <w:top w:val="none" w:sz="0" w:space="0" w:color="auto"/>
        <w:left w:val="none" w:sz="0" w:space="0" w:color="auto"/>
        <w:bottom w:val="none" w:sz="0" w:space="0" w:color="auto"/>
        <w:right w:val="none" w:sz="0" w:space="0" w:color="auto"/>
      </w:divBdr>
    </w:div>
    <w:div w:id="1777021034">
      <w:bodyDiv w:val="1"/>
      <w:marLeft w:val="0"/>
      <w:marRight w:val="0"/>
      <w:marTop w:val="0"/>
      <w:marBottom w:val="0"/>
      <w:divBdr>
        <w:top w:val="none" w:sz="0" w:space="0" w:color="auto"/>
        <w:left w:val="none" w:sz="0" w:space="0" w:color="auto"/>
        <w:bottom w:val="none" w:sz="0" w:space="0" w:color="auto"/>
        <w:right w:val="none" w:sz="0" w:space="0" w:color="auto"/>
      </w:divBdr>
    </w:div>
    <w:div w:id="1781609984">
      <w:bodyDiv w:val="1"/>
      <w:marLeft w:val="0"/>
      <w:marRight w:val="0"/>
      <w:marTop w:val="0"/>
      <w:marBottom w:val="0"/>
      <w:divBdr>
        <w:top w:val="none" w:sz="0" w:space="0" w:color="auto"/>
        <w:left w:val="none" w:sz="0" w:space="0" w:color="auto"/>
        <w:bottom w:val="none" w:sz="0" w:space="0" w:color="auto"/>
        <w:right w:val="none" w:sz="0" w:space="0" w:color="auto"/>
      </w:divBdr>
    </w:div>
    <w:div w:id="1788691552">
      <w:bodyDiv w:val="1"/>
      <w:marLeft w:val="0"/>
      <w:marRight w:val="0"/>
      <w:marTop w:val="0"/>
      <w:marBottom w:val="0"/>
      <w:divBdr>
        <w:top w:val="none" w:sz="0" w:space="0" w:color="auto"/>
        <w:left w:val="none" w:sz="0" w:space="0" w:color="auto"/>
        <w:bottom w:val="none" w:sz="0" w:space="0" w:color="auto"/>
        <w:right w:val="none" w:sz="0" w:space="0" w:color="auto"/>
      </w:divBdr>
    </w:div>
    <w:div w:id="1791196616">
      <w:bodyDiv w:val="1"/>
      <w:marLeft w:val="0"/>
      <w:marRight w:val="0"/>
      <w:marTop w:val="0"/>
      <w:marBottom w:val="0"/>
      <w:divBdr>
        <w:top w:val="none" w:sz="0" w:space="0" w:color="auto"/>
        <w:left w:val="none" w:sz="0" w:space="0" w:color="auto"/>
        <w:bottom w:val="none" w:sz="0" w:space="0" w:color="auto"/>
        <w:right w:val="none" w:sz="0" w:space="0" w:color="auto"/>
      </w:divBdr>
    </w:div>
    <w:div w:id="1812865601">
      <w:bodyDiv w:val="1"/>
      <w:marLeft w:val="0"/>
      <w:marRight w:val="0"/>
      <w:marTop w:val="0"/>
      <w:marBottom w:val="0"/>
      <w:divBdr>
        <w:top w:val="none" w:sz="0" w:space="0" w:color="auto"/>
        <w:left w:val="none" w:sz="0" w:space="0" w:color="auto"/>
        <w:bottom w:val="none" w:sz="0" w:space="0" w:color="auto"/>
        <w:right w:val="none" w:sz="0" w:space="0" w:color="auto"/>
      </w:divBdr>
    </w:div>
    <w:div w:id="1821068977">
      <w:bodyDiv w:val="1"/>
      <w:marLeft w:val="0"/>
      <w:marRight w:val="0"/>
      <w:marTop w:val="0"/>
      <w:marBottom w:val="0"/>
      <w:divBdr>
        <w:top w:val="none" w:sz="0" w:space="0" w:color="auto"/>
        <w:left w:val="none" w:sz="0" w:space="0" w:color="auto"/>
        <w:bottom w:val="none" w:sz="0" w:space="0" w:color="auto"/>
        <w:right w:val="none" w:sz="0" w:space="0" w:color="auto"/>
      </w:divBdr>
    </w:div>
    <w:div w:id="1825122893">
      <w:bodyDiv w:val="1"/>
      <w:marLeft w:val="0"/>
      <w:marRight w:val="0"/>
      <w:marTop w:val="0"/>
      <w:marBottom w:val="0"/>
      <w:divBdr>
        <w:top w:val="none" w:sz="0" w:space="0" w:color="auto"/>
        <w:left w:val="none" w:sz="0" w:space="0" w:color="auto"/>
        <w:bottom w:val="none" w:sz="0" w:space="0" w:color="auto"/>
        <w:right w:val="none" w:sz="0" w:space="0" w:color="auto"/>
      </w:divBdr>
    </w:div>
    <w:div w:id="1825705321">
      <w:bodyDiv w:val="1"/>
      <w:marLeft w:val="0"/>
      <w:marRight w:val="0"/>
      <w:marTop w:val="0"/>
      <w:marBottom w:val="0"/>
      <w:divBdr>
        <w:top w:val="none" w:sz="0" w:space="0" w:color="auto"/>
        <w:left w:val="none" w:sz="0" w:space="0" w:color="auto"/>
        <w:bottom w:val="none" w:sz="0" w:space="0" w:color="auto"/>
        <w:right w:val="none" w:sz="0" w:space="0" w:color="auto"/>
      </w:divBdr>
    </w:div>
    <w:div w:id="1835342017">
      <w:bodyDiv w:val="1"/>
      <w:marLeft w:val="0"/>
      <w:marRight w:val="0"/>
      <w:marTop w:val="0"/>
      <w:marBottom w:val="0"/>
      <w:divBdr>
        <w:top w:val="none" w:sz="0" w:space="0" w:color="auto"/>
        <w:left w:val="none" w:sz="0" w:space="0" w:color="auto"/>
        <w:bottom w:val="none" w:sz="0" w:space="0" w:color="auto"/>
        <w:right w:val="none" w:sz="0" w:space="0" w:color="auto"/>
      </w:divBdr>
    </w:div>
    <w:div w:id="1838567952">
      <w:bodyDiv w:val="1"/>
      <w:marLeft w:val="0"/>
      <w:marRight w:val="0"/>
      <w:marTop w:val="0"/>
      <w:marBottom w:val="0"/>
      <w:divBdr>
        <w:top w:val="none" w:sz="0" w:space="0" w:color="auto"/>
        <w:left w:val="none" w:sz="0" w:space="0" w:color="auto"/>
        <w:bottom w:val="none" w:sz="0" w:space="0" w:color="auto"/>
        <w:right w:val="none" w:sz="0" w:space="0" w:color="auto"/>
      </w:divBdr>
    </w:div>
    <w:div w:id="1839693325">
      <w:bodyDiv w:val="1"/>
      <w:marLeft w:val="0"/>
      <w:marRight w:val="0"/>
      <w:marTop w:val="0"/>
      <w:marBottom w:val="0"/>
      <w:divBdr>
        <w:top w:val="none" w:sz="0" w:space="0" w:color="auto"/>
        <w:left w:val="none" w:sz="0" w:space="0" w:color="auto"/>
        <w:bottom w:val="none" w:sz="0" w:space="0" w:color="auto"/>
        <w:right w:val="none" w:sz="0" w:space="0" w:color="auto"/>
      </w:divBdr>
    </w:div>
    <w:div w:id="1843427753">
      <w:bodyDiv w:val="1"/>
      <w:marLeft w:val="0"/>
      <w:marRight w:val="0"/>
      <w:marTop w:val="0"/>
      <w:marBottom w:val="0"/>
      <w:divBdr>
        <w:top w:val="none" w:sz="0" w:space="0" w:color="auto"/>
        <w:left w:val="none" w:sz="0" w:space="0" w:color="auto"/>
        <w:bottom w:val="none" w:sz="0" w:space="0" w:color="auto"/>
        <w:right w:val="none" w:sz="0" w:space="0" w:color="auto"/>
      </w:divBdr>
    </w:div>
    <w:div w:id="1846747863">
      <w:bodyDiv w:val="1"/>
      <w:marLeft w:val="0"/>
      <w:marRight w:val="0"/>
      <w:marTop w:val="0"/>
      <w:marBottom w:val="0"/>
      <w:divBdr>
        <w:top w:val="none" w:sz="0" w:space="0" w:color="auto"/>
        <w:left w:val="none" w:sz="0" w:space="0" w:color="auto"/>
        <w:bottom w:val="none" w:sz="0" w:space="0" w:color="auto"/>
        <w:right w:val="none" w:sz="0" w:space="0" w:color="auto"/>
      </w:divBdr>
    </w:div>
    <w:div w:id="1851331715">
      <w:bodyDiv w:val="1"/>
      <w:marLeft w:val="0"/>
      <w:marRight w:val="0"/>
      <w:marTop w:val="0"/>
      <w:marBottom w:val="0"/>
      <w:divBdr>
        <w:top w:val="none" w:sz="0" w:space="0" w:color="auto"/>
        <w:left w:val="none" w:sz="0" w:space="0" w:color="auto"/>
        <w:bottom w:val="none" w:sz="0" w:space="0" w:color="auto"/>
        <w:right w:val="none" w:sz="0" w:space="0" w:color="auto"/>
      </w:divBdr>
    </w:div>
    <w:div w:id="1858738291">
      <w:bodyDiv w:val="1"/>
      <w:marLeft w:val="0"/>
      <w:marRight w:val="0"/>
      <w:marTop w:val="0"/>
      <w:marBottom w:val="0"/>
      <w:divBdr>
        <w:top w:val="none" w:sz="0" w:space="0" w:color="auto"/>
        <w:left w:val="none" w:sz="0" w:space="0" w:color="auto"/>
        <w:bottom w:val="none" w:sz="0" w:space="0" w:color="auto"/>
        <w:right w:val="none" w:sz="0" w:space="0" w:color="auto"/>
      </w:divBdr>
    </w:div>
    <w:div w:id="1860777534">
      <w:bodyDiv w:val="1"/>
      <w:marLeft w:val="0"/>
      <w:marRight w:val="0"/>
      <w:marTop w:val="0"/>
      <w:marBottom w:val="0"/>
      <w:divBdr>
        <w:top w:val="none" w:sz="0" w:space="0" w:color="auto"/>
        <w:left w:val="none" w:sz="0" w:space="0" w:color="auto"/>
        <w:bottom w:val="none" w:sz="0" w:space="0" w:color="auto"/>
        <w:right w:val="none" w:sz="0" w:space="0" w:color="auto"/>
      </w:divBdr>
    </w:div>
    <w:div w:id="1861427742">
      <w:bodyDiv w:val="1"/>
      <w:marLeft w:val="0"/>
      <w:marRight w:val="0"/>
      <w:marTop w:val="0"/>
      <w:marBottom w:val="0"/>
      <w:divBdr>
        <w:top w:val="none" w:sz="0" w:space="0" w:color="auto"/>
        <w:left w:val="none" w:sz="0" w:space="0" w:color="auto"/>
        <w:bottom w:val="none" w:sz="0" w:space="0" w:color="auto"/>
        <w:right w:val="none" w:sz="0" w:space="0" w:color="auto"/>
      </w:divBdr>
    </w:div>
    <w:div w:id="1874338802">
      <w:bodyDiv w:val="1"/>
      <w:marLeft w:val="0"/>
      <w:marRight w:val="0"/>
      <w:marTop w:val="0"/>
      <w:marBottom w:val="0"/>
      <w:divBdr>
        <w:top w:val="none" w:sz="0" w:space="0" w:color="auto"/>
        <w:left w:val="none" w:sz="0" w:space="0" w:color="auto"/>
        <w:bottom w:val="none" w:sz="0" w:space="0" w:color="auto"/>
        <w:right w:val="none" w:sz="0" w:space="0" w:color="auto"/>
      </w:divBdr>
    </w:div>
    <w:div w:id="1877228384">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1880556547">
      <w:bodyDiv w:val="1"/>
      <w:marLeft w:val="0"/>
      <w:marRight w:val="0"/>
      <w:marTop w:val="0"/>
      <w:marBottom w:val="0"/>
      <w:divBdr>
        <w:top w:val="none" w:sz="0" w:space="0" w:color="auto"/>
        <w:left w:val="none" w:sz="0" w:space="0" w:color="auto"/>
        <w:bottom w:val="none" w:sz="0" w:space="0" w:color="auto"/>
        <w:right w:val="none" w:sz="0" w:space="0" w:color="auto"/>
      </w:divBdr>
    </w:div>
    <w:div w:id="1882011152">
      <w:bodyDiv w:val="1"/>
      <w:marLeft w:val="0"/>
      <w:marRight w:val="0"/>
      <w:marTop w:val="0"/>
      <w:marBottom w:val="0"/>
      <w:divBdr>
        <w:top w:val="none" w:sz="0" w:space="0" w:color="auto"/>
        <w:left w:val="none" w:sz="0" w:space="0" w:color="auto"/>
        <w:bottom w:val="none" w:sz="0" w:space="0" w:color="auto"/>
        <w:right w:val="none" w:sz="0" w:space="0" w:color="auto"/>
      </w:divBdr>
    </w:div>
    <w:div w:id="1892183042">
      <w:bodyDiv w:val="1"/>
      <w:marLeft w:val="0"/>
      <w:marRight w:val="0"/>
      <w:marTop w:val="0"/>
      <w:marBottom w:val="0"/>
      <w:divBdr>
        <w:top w:val="none" w:sz="0" w:space="0" w:color="auto"/>
        <w:left w:val="none" w:sz="0" w:space="0" w:color="auto"/>
        <w:bottom w:val="none" w:sz="0" w:space="0" w:color="auto"/>
        <w:right w:val="none" w:sz="0" w:space="0" w:color="auto"/>
      </w:divBdr>
    </w:div>
    <w:div w:id="1892185416">
      <w:bodyDiv w:val="1"/>
      <w:marLeft w:val="0"/>
      <w:marRight w:val="0"/>
      <w:marTop w:val="0"/>
      <w:marBottom w:val="0"/>
      <w:divBdr>
        <w:top w:val="none" w:sz="0" w:space="0" w:color="auto"/>
        <w:left w:val="none" w:sz="0" w:space="0" w:color="auto"/>
        <w:bottom w:val="none" w:sz="0" w:space="0" w:color="auto"/>
        <w:right w:val="none" w:sz="0" w:space="0" w:color="auto"/>
      </w:divBdr>
    </w:div>
    <w:div w:id="1895383650">
      <w:bodyDiv w:val="1"/>
      <w:marLeft w:val="0"/>
      <w:marRight w:val="0"/>
      <w:marTop w:val="0"/>
      <w:marBottom w:val="0"/>
      <w:divBdr>
        <w:top w:val="none" w:sz="0" w:space="0" w:color="auto"/>
        <w:left w:val="none" w:sz="0" w:space="0" w:color="auto"/>
        <w:bottom w:val="none" w:sz="0" w:space="0" w:color="auto"/>
        <w:right w:val="none" w:sz="0" w:space="0" w:color="auto"/>
      </w:divBdr>
    </w:div>
    <w:div w:id="1898275183">
      <w:bodyDiv w:val="1"/>
      <w:marLeft w:val="0"/>
      <w:marRight w:val="0"/>
      <w:marTop w:val="0"/>
      <w:marBottom w:val="0"/>
      <w:divBdr>
        <w:top w:val="none" w:sz="0" w:space="0" w:color="auto"/>
        <w:left w:val="none" w:sz="0" w:space="0" w:color="auto"/>
        <w:bottom w:val="none" w:sz="0" w:space="0" w:color="auto"/>
        <w:right w:val="none" w:sz="0" w:space="0" w:color="auto"/>
      </w:divBdr>
    </w:div>
    <w:div w:id="1903448371">
      <w:bodyDiv w:val="1"/>
      <w:marLeft w:val="0"/>
      <w:marRight w:val="0"/>
      <w:marTop w:val="0"/>
      <w:marBottom w:val="0"/>
      <w:divBdr>
        <w:top w:val="none" w:sz="0" w:space="0" w:color="auto"/>
        <w:left w:val="none" w:sz="0" w:space="0" w:color="auto"/>
        <w:bottom w:val="none" w:sz="0" w:space="0" w:color="auto"/>
        <w:right w:val="none" w:sz="0" w:space="0" w:color="auto"/>
      </w:divBdr>
    </w:div>
    <w:div w:id="1906993384">
      <w:bodyDiv w:val="1"/>
      <w:marLeft w:val="0"/>
      <w:marRight w:val="0"/>
      <w:marTop w:val="0"/>
      <w:marBottom w:val="0"/>
      <w:divBdr>
        <w:top w:val="none" w:sz="0" w:space="0" w:color="auto"/>
        <w:left w:val="none" w:sz="0" w:space="0" w:color="auto"/>
        <w:bottom w:val="none" w:sz="0" w:space="0" w:color="auto"/>
        <w:right w:val="none" w:sz="0" w:space="0" w:color="auto"/>
      </w:divBdr>
    </w:div>
    <w:div w:id="1908221574">
      <w:bodyDiv w:val="1"/>
      <w:marLeft w:val="0"/>
      <w:marRight w:val="0"/>
      <w:marTop w:val="0"/>
      <w:marBottom w:val="0"/>
      <w:divBdr>
        <w:top w:val="none" w:sz="0" w:space="0" w:color="auto"/>
        <w:left w:val="none" w:sz="0" w:space="0" w:color="auto"/>
        <w:bottom w:val="none" w:sz="0" w:space="0" w:color="auto"/>
        <w:right w:val="none" w:sz="0" w:space="0" w:color="auto"/>
      </w:divBdr>
    </w:div>
    <w:div w:id="1910382090">
      <w:bodyDiv w:val="1"/>
      <w:marLeft w:val="0"/>
      <w:marRight w:val="0"/>
      <w:marTop w:val="0"/>
      <w:marBottom w:val="0"/>
      <w:divBdr>
        <w:top w:val="none" w:sz="0" w:space="0" w:color="auto"/>
        <w:left w:val="none" w:sz="0" w:space="0" w:color="auto"/>
        <w:bottom w:val="none" w:sz="0" w:space="0" w:color="auto"/>
        <w:right w:val="none" w:sz="0" w:space="0" w:color="auto"/>
      </w:divBdr>
    </w:div>
    <w:div w:id="1918514020">
      <w:bodyDiv w:val="1"/>
      <w:marLeft w:val="0"/>
      <w:marRight w:val="0"/>
      <w:marTop w:val="0"/>
      <w:marBottom w:val="0"/>
      <w:divBdr>
        <w:top w:val="none" w:sz="0" w:space="0" w:color="auto"/>
        <w:left w:val="none" w:sz="0" w:space="0" w:color="auto"/>
        <w:bottom w:val="none" w:sz="0" w:space="0" w:color="auto"/>
        <w:right w:val="none" w:sz="0" w:space="0" w:color="auto"/>
      </w:divBdr>
    </w:div>
    <w:div w:id="1930190728">
      <w:bodyDiv w:val="1"/>
      <w:marLeft w:val="0"/>
      <w:marRight w:val="0"/>
      <w:marTop w:val="0"/>
      <w:marBottom w:val="0"/>
      <w:divBdr>
        <w:top w:val="none" w:sz="0" w:space="0" w:color="auto"/>
        <w:left w:val="none" w:sz="0" w:space="0" w:color="auto"/>
        <w:bottom w:val="none" w:sz="0" w:space="0" w:color="auto"/>
        <w:right w:val="none" w:sz="0" w:space="0" w:color="auto"/>
      </w:divBdr>
    </w:div>
    <w:div w:id="1947617950">
      <w:bodyDiv w:val="1"/>
      <w:marLeft w:val="0"/>
      <w:marRight w:val="0"/>
      <w:marTop w:val="0"/>
      <w:marBottom w:val="0"/>
      <w:divBdr>
        <w:top w:val="none" w:sz="0" w:space="0" w:color="auto"/>
        <w:left w:val="none" w:sz="0" w:space="0" w:color="auto"/>
        <w:bottom w:val="none" w:sz="0" w:space="0" w:color="auto"/>
        <w:right w:val="none" w:sz="0" w:space="0" w:color="auto"/>
      </w:divBdr>
    </w:div>
    <w:div w:id="1951081786">
      <w:bodyDiv w:val="1"/>
      <w:marLeft w:val="0"/>
      <w:marRight w:val="0"/>
      <w:marTop w:val="0"/>
      <w:marBottom w:val="0"/>
      <w:divBdr>
        <w:top w:val="none" w:sz="0" w:space="0" w:color="auto"/>
        <w:left w:val="none" w:sz="0" w:space="0" w:color="auto"/>
        <w:bottom w:val="none" w:sz="0" w:space="0" w:color="auto"/>
        <w:right w:val="none" w:sz="0" w:space="0" w:color="auto"/>
      </w:divBdr>
    </w:div>
    <w:div w:id="1956477105">
      <w:bodyDiv w:val="1"/>
      <w:marLeft w:val="0"/>
      <w:marRight w:val="0"/>
      <w:marTop w:val="0"/>
      <w:marBottom w:val="0"/>
      <w:divBdr>
        <w:top w:val="none" w:sz="0" w:space="0" w:color="auto"/>
        <w:left w:val="none" w:sz="0" w:space="0" w:color="auto"/>
        <w:bottom w:val="none" w:sz="0" w:space="0" w:color="auto"/>
        <w:right w:val="none" w:sz="0" w:space="0" w:color="auto"/>
      </w:divBdr>
    </w:div>
    <w:div w:id="1967538935">
      <w:bodyDiv w:val="1"/>
      <w:marLeft w:val="0"/>
      <w:marRight w:val="0"/>
      <w:marTop w:val="0"/>
      <w:marBottom w:val="0"/>
      <w:divBdr>
        <w:top w:val="none" w:sz="0" w:space="0" w:color="auto"/>
        <w:left w:val="none" w:sz="0" w:space="0" w:color="auto"/>
        <w:bottom w:val="none" w:sz="0" w:space="0" w:color="auto"/>
        <w:right w:val="none" w:sz="0" w:space="0" w:color="auto"/>
      </w:divBdr>
    </w:div>
    <w:div w:id="1974754467">
      <w:bodyDiv w:val="1"/>
      <w:marLeft w:val="0"/>
      <w:marRight w:val="0"/>
      <w:marTop w:val="0"/>
      <w:marBottom w:val="0"/>
      <w:divBdr>
        <w:top w:val="none" w:sz="0" w:space="0" w:color="auto"/>
        <w:left w:val="none" w:sz="0" w:space="0" w:color="auto"/>
        <w:bottom w:val="none" w:sz="0" w:space="0" w:color="auto"/>
        <w:right w:val="none" w:sz="0" w:space="0" w:color="auto"/>
      </w:divBdr>
    </w:div>
    <w:div w:id="1974869297">
      <w:bodyDiv w:val="1"/>
      <w:marLeft w:val="0"/>
      <w:marRight w:val="0"/>
      <w:marTop w:val="0"/>
      <w:marBottom w:val="0"/>
      <w:divBdr>
        <w:top w:val="none" w:sz="0" w:space="0" w:color="auto"/>
        <w:left w:val="none" w:sz="0" w:space="0" w:color="auto"/>
        <w:bottom w:val="none" w:sz="0" w:space="0" w:color="auto"/>
        <w:right w:val="none" w:sz="0" w:space="0" w:color="auto"/>
      </w:divBdr>
    </w:div>
    <w:div w:id="1981302406">
      <w:bodyDiv w:val="1"/>
      <w:marLeft w:val="0"/>
      <w:marRight w:val="0"/>
      <w:marTop w:val="0"/>
      <w:marBottom w:val="0"/>
      <w:divBdr>
        <w:top w:val="none" w:sz="0" w:space="0" w:color="auto"/>
        <w:left w:val="none" w:sz="0" w:space="0" w:color="auto"/>
        <w:bottom w:val="none" w:sz="0" w:space="0" w:color="auto"/>
        <w:right w:val="none" w:sz="0" w:space="0" w:color="auto"/>
      </w:divBdr>
    </w:div>
    <w:div w:id="1982299710">
      <w:bodyDiv w:val="1"/>
      <w:marLeft w:val="0"/>
      <w:marRight w:val="0"/>
      <w:marTop w:val="0"/>
      <w:marBottom w:val="0"/>
      <w:divBdr>
        <w:top w:val="none" w:sz="0" w:space="0" w:color="auto"/>
        <w:left w:val="none" w:sz="0" w:space="0" w:color="auto"/>
        <w:bottom w:val="none" w:sz="0" w:space="0" w:color="auto"/>
        <w:right w:val="none" w:sz="0" w:space="0" w:color="auto"/>
      </w:divBdr>
    </w:div>
    <w:div w:id="1984699528">
      <w:bodyDiv w:val="1"/>
      <w:marLeft w:val="0"/>
      <w:marRight w:val="0"/>
      <w:marTop w:val="0"/>
      <w:marBottom w:val="0"/>
      <w:divBdr>
        <w:top w:val="none" w:sz="0" w:space="0" w:color="auto"/>
        <w:left w:val="none" w:sz="0" w:space="0" w:color="auto"/>
        <w:bottom w:val="none" w:sz="0" w:space="0" w:color="auto"/>
        <w:right w:val="none" w:sz="0" w:space="0" w:color="auto"/>
      </w:divBdr>
    </w:div>
    <w:div w:id="2001274289">
      <w:bodyDiv w:val="1"/>
      <w:marLeft w:val="0"/>
      <w:marRight w:val="0"/>
      <w:marTop w:val="0"/>
      <w:marBottom w:val="0"/>
      <w:divBdr>
        <w:top w:val="none" w:sz="0" w:space="0" w:color="auto"/>
        <w:left w:val="none" w:sz="0" w:space="0" w:color="auto"/>
        <w:bottom w:val="none" w:sz="0" w:space="0" w:color="auto"/>
        <w:right w:val="none" w:sz="0" w:space="0" w:color="auto"/>
      </w:divBdr>
    </w:div>
    <w:div w:id="2004430606">
      <w:bodyDiv w:val="1"/>
      <w:marLeft w:val="0"/>
      <w:marRight w:val="0"/>
      <w:marTop w:val="0"/>
      <w:marBottom w:val="0"/>
      <w:divBdr>
        <w:top w:val="none" w:sz="0" w:space="0" w:color="auto"/>
        <w:left w:val="none" w:sz="0" w:space="0" w:color="auto"/>
        <w:bottom w:val="none" w:sz="0" w:space="0" w:color="auto"/>
        <w:right w:val="none" w:sz="0" w:space="0" w:color="auto"/>
      </w:divBdr>
    </w:div>
    <w:div w:id="2010475638">
      <w:bodyDiv w:val="1"/>
      <w:marLeft w:val="0"/>
      <w:marRight w:val="0"/>
      <w:marTop w:val="0"/>
      <w:marBottom w:val="0"/>
      <w:divBdr>
        <w:top w:val="none" w:sz="0" w:space="0" w:color="auto"/>
        <w:left w:val="none" w:sz="0" w:space="0" w:color="auto"/>
        <w:bottom w:val="none" w:sz="0" w:space="0" w:color="auto"/>
        <w:right w:val="none" w:sz="0" w:space="0" w:color="auto"/>
      </w:divBdr>
    </w:div>
    <w:div w:id="2014600649">
      <w:bodyDiv w:val="1"/>
      <w:marLeft w:val="0"/>
      <w:marRight w:val="0"/>
      <w:marTop w:val="0"/>
      <w:marBottom w:val="0"/>
      <w:divBdr>
        <w:top w:val="none" w:sz="0" w:space="0" w:color="auto"/>
        <w:left w:val="none" w:sz="0" w:space="0" w:color="auto"/>
        <w:bottom w:val="none" w:sz="0" w:space="0" w:color="auto"/>
        <w:right w:val="none" w:sz="0" w:space="0" w:color="auto"/>
      </w:divBdr>
    </w:div>
    <w:div w:id="2030908657">
      <w:bodyDiv w:val="1"/>
      <w:marLeft w:val="0"/>
      <w:marRight w:val="0"/>
      <w:marTop w:val="0"/>
      <w:marBottom w:val="0"/>
      <w:divBdr>
        <w:top w:val="none" w:sz="0" w:space="0" w:color="auto"/>
        <w:left w:val="none" w:sz="0" w:space="0" w:color="auto"/>
        <w:bottom w:val="none" w:sz="0" w:space="0" w:color="auto"/>
        <w:right w:val="none" w:sz="0" w:space="0" w:color="auto"/>
      </w:divBdr>
    </w:div>
    <w:div w:id="2036344650">
      <w:bodyDiv w:val="1"/>
      <w:marLeft w:val="0"/>
      <w:marRight w:val="0"/>
      <w:marTop w:val="0"/>
      <w:marBottom w:val="0"/>
      <w:divBdr>
        <w:top w:val="none" w:sz="0" w:space="0" w:color="auto"/>
        <w:left w:val="none" w:sz="0" w:space="0" w:color="auto"/>
        <w:bottom w:val="none" w:sz="0" w:space="0" w:color="auto"/>
        <w:right w:val="none" w:sz="0" w:space="0" w:color="auto"/>
      </w:divBdr>
    </w:div>
    <w:div w:id="2038382898">
      <w:bodyDiv w:val="1"/>
      <w:marLeft w:val="0"/>
      <w:marRight w:val="0"/>
      <w:marTop w:val="0"/>
      <w:marBottom w:val="0"/>
      <w:divBdr>
        <w:top w:val="none" w:sz="0" w:space="0" w:color="auto"/>
        <w:left w:val="none" w:sz="0" w:space="0" w:color="auto"/>
        <w:bottom w:val="none" w:sz="0" w:space="0" w:color="auto"/>
        <w:right w:val="none" w:sz="0" w:space="0" w:color="auto"/>
      </w:divBdr>
    </w:div>
    <w:div w:id="2046786848">
      <w:bodyDiv w:val="1"/>
      <w:marLeft w:val="0"/>
      <w:marRight w:val="0"/>
      <w:marTop w:val="0"/>
      <w:marBottom w:val="0"/>
      <w:divBdr>
        <w:top w:val="none" w:sz="0" w:space="0" w:color="auto"/>
        <w:left w:val="none" w:sz="0" w:space="0" w:color="auto"/>
        <w:bottom w:val="none" w:sz="0" w:space="0" w:color="auto"/>
        <w:right w:val="none" w:sz="0" w:space="0" w:color="auto"/>
      </w:divBdr>
    </w:div>
    <w:div w:id="2052725147">
      <w:bodyDiv w:val="1"/>
      <w:marLeft w:val="0"/>
      <w:marRight w:val="0"/>
      <w:marTop w:val="0"/>
      <w:marBottom w:val="0"/>
      <w:divBdr>
        <w:top w:val="none" w:sz="0" w:space="0" w:color="auto"/>
        <w:left w:val="none" w:sz="0" w:space="0" w:color="auto"/>
        <w:bottom w:val="none" w:sz="0" w:space="0" w:color="auto"/>
        <w:right w:val="none" w:sz="0" w:space="0" w:color="auto"/>
      </w:divBdr>
    </w:div>
    <w:div w:id="2057703701">
      <w:bodyDiv w:val="1"/>
      <w:marLeft w:val="0"/>
      <w:marRight w:val="0"/>
      <w:marTop w:val="0"/>
      <w:marBottom w:val="0"/>
      <w:divBdr>
        <w:top w:val="none" w:sz="0" w:space="0" w:color="auto"/>
        <w:left w:val="none" w:sz="0" w:space="0" w:color="auto"/>
        <w:bottom w:val="none" w:sz="0" w:space="0" w:color="auto"/>
        <w:right w:val="none" w:sz="0" w:space="0" w:color="auto"/>
      </w:divBdr>
    </w:div>
    <w:div w:id="2057773539">
      <w:bodyDiv w:val="1"/>
      <w:marLeft w:val="0"/>
      <w:marRight w:val="0"/>
      <w:marTop w:val="0"/>
      <w:marBottom w:val="0"/>
      <w:divBdr>
        <w:top w:val="none" w:sz="0" w:space="0" w:color="auto"/>
        <w:left w:val="none" w:sz="0" w:space="0" w:color="auto"/>
        <w:bottom w:val="none" w:sz="0" w:space="0" w:color="auto"/>
        <w:right w:val="none" w:sz="0" w:space="0" w:color="auto"/>
      </w:divBdr>
    </w:div>
    <w:div w:id="2058433429">
      <w:bodyDiv w:val="1"/>
      <w:marLeft w:val="0"/>
      <w:marRight w:val="0"/>
      <w:marTop w:val="0"/>
      <w:marBottom w:val="0"/>
      <w:divBdr>
        <w:top w:val="none" w:sz="0" w:space="0" w:color="auto"/>
        <w:left w:val="none" w:sz="0" w:space="0" w:color="auto"/>
        <w:bottom w:val="none" w:sz="0" w:space="0" w:color="auto"/>
        <w:right w:val="none" w:sz="0" w:space="0" w:color="auto"/>
      </w:divBdr>
    </w:div>
    <w:div w:id="2059864161">
      <w:bodyDiv w:val="1"/>
      <w:marLeft w:val="0"/>
      <w:marRight w:val="0"/>
      <w:marTop w:val="0"/>
      <w:marBottom w:val="0"/>
      <w:divBdr>
        <w:top w:val="none" w:sz="0" w:space="0" w:color="auto"/>
        <w:left w:val="none" w:sz="0" w:space="0" w:color="auto"/>
        <w:bottom w:val="none" w:sz="0" w:space="0" w:color="auto"/>
        <w:right w:val="none" w:sz="0" w:space="0" w:color="auto"/>
      </w:divBdr>
    </w:div>
    <w:div w:id="2061325898">
      <w:bodyDiv w:val="1"/>
      <w:marLeft w:val="0"/>
      <w:marRight w:val="0"/>
      <w:marTop w:val="0"/>
      <w:marBottom w:val="0"/>
      <w:divBdr>
        <w:top w:val="none" w:sz="0" w:space="0" w:color="auto"/>
        <w:left w:val="none" w:sz="0" w:space="0" w:color="auto"/>
        <w:bottom w:val="none" w:sz="0" w:space="0" w:color="auto"/>
        <w:right w:val="none" w:sz="0" w:space="0" w:color="auto"/>
      </w:divBdr>
    </w:div>
    <w:div w:id="2070377398">
      <w:bodyDiv w:val="1"/>
      <w:marLeft w:val="0"/>
      <w:marRight w:val="0"/>
      <w:marTop w:val="0"/>
      <w:marBottom w:val="0"/>
      <w:divBdr>
        <w:top w:val="none" w:sz="0" w:space="0" w:color="auto"/>
        <w:left w:val="none" w:sz="0" w:space="0" w:color="auto"/>
        <w:bottom w:val="none" w:sz="0" w:space="0" w:color="auto"/>
        <w:right w:val="none" w:sz="0" w:space="0" w:color="auto"/>
      </w:divBdr>
    </w:div>
    <w:div w:id="2073384597">
      <w:bodyDiv w:val="1"/>
      <w:marLeft w:val="0"/>
      <w:marRight w:val="0"/>
      <w:marTop w:val="0"/>
      <w:marBottom w:val="0"/>
      <w:divBdr>
        <w:top w:val="none" w:sz="0" w:space="0" w:color="auto"/>
        <w:left w:val="none" w:sz="0" w:space="0" w:color="auto"/>
        <w:bottom w:val="none" w:sz="0" w:space="0" w:color="auto"/>
        <w:right w:val="none" w:sz="0" w:space="0" w:color="auto"/>
      </w:divBdr>
    </w:div>
    <w:div w:id="2075001503">
      <w:bodyDiv w:val="1"/>
      <w:marLeft w:val="0"/>
      <w:marRight w:val="0"/>
      <w:marTop w:val="0"/>
      <w:marBottom w:val="0"/>
      <w:divBdr>
        <w:top w:val="none" w:sz="0" w:space="0" w:color="auto"/>
        <w:left w:val="none" w:sz="0" w:space="0" w:color="auto"/>
        <w:bottom w:val="none" w:sz="0" w:space="0" w:color="auto"/>
        <w:right w:val="none" w:sz="0" w:space="0" w:color="auto"/>
      </w:divBdr>
    </w:div>
    <w:div w:id="2080790350">
      <w:bodyDiv w:val="1"/>
      <w:marLeft w:val="0"/>
      <w:marRight w:val="0"/>
      <w:marTop w:val="0"/>
      <w:marBottom w:val="0"/>
      <w:divBdr>
        <w:top w:val="none" w:sz="0" w:space="0" w:color="auto"/>
        <w:left w:val="none" w:sz="0" w:space="0" w:color="auto"/>
        <w:bottom w:val="none" w:sz="0" w:space="0" w:color="auto"/>
        <w:right w:val="none" w:sz="0" w:space="0" w:color="auto"/>
      </w:divBdr>
    </w:div>
    <w:div w:id="2083477978">
      <w:bodyDiv w:val="1"/>
      <w:marLeft w:val="0"/>
      <w:marRight w:val="0"/>
      <w:marTop w:val="0"/>
      <w:marBottom w:val="0"/>
      <w:divBdr>
        <w:top w:val="none" w:sz="0" w:space="0" w:color="auto"/>
        <w:left w:val="none" w:sz="0" w:space="0" w:color="auto"/>
        <w:bottom w:val="none" w:sz="0" w:space="0" w:color="auto"/>
        <w:right w:val="none" w:sz="0" w:space="0" w:color="auto"/>
      </w:divBdr>
    </w:div>
    <w:div w:id="2084527205">
      <w:bodyDiv w:val="1"/>
      <w:marLeft w:val="0"/>
      <w:marRight w:val="0"/>
      <w:marTop w:val="0"/>
      <w:marBottom w:val="0"/>
      <w:divBdr>
        <w:top w:val="none" w:sz="0" w:space="0" w:color="auto"/>
        <w:left w:val="none" w:sz="0" w:space="0" w:color="auto"/>
        <w:bottom w:val="none" w:sz="0" w:space="0" w:color="auto"/>
        <w:right w:val="none" w:sz="0" w:space="0" w:color="auto"/>
      </w:divBdr>
    </w:div>
    <w:div w:id="2085518921">
      <w:bodyDiv w:val="1"/>
      <w:marLeft w:val="0"/>
      <w:marRight w:val="0"/>
      <w:marTop w:val="0"/>
      <w:marBottom w:val="0"/>
      <w:divBdr>
        <w:top w:val="none" w:sz="0" w:space="0" w:color="auto"/>
        <w:left w:val="none" w:sz="0" w:space="0" w:color="auto"/>
        <w:bottom w:val="none" w:sz="0" w:space="0" w:color="auto"/>
        <w:right w:val="none" w:sz="0" w:space="0" w:color="auto"/>
      </w:divBdr>
    </w:div>
    <w:div w:id="2089812033">
      <w:bodyDiv w:val="1"/>
      <w:marLeft w:val="0"/>
      <w:marRight w:val="0"/>
      <w:marTop w:val="0"/>
      <w:marBottom w:val="0"/>
      <w:divBdr>
        <w:top w:val="none" w:sz="0" w:space="0" w:color="auto"/>
        <w:left w:val="none" w:sz="0" w:space="0" w:color="auto"/>
        <w:bottom w:val="none" w:sz="0" w:space="0" w:color="auto"/>
        <w:right w:val="none" w:sz="0" w:space="0" w:color="auto"/>
      </w:divBdr>
    </w:div>
    <w:div w:id="2100439985">
      <w:bodyDiv w:val="1"/>
      <w:marLeft w:val="0"/>
      <w:marRight w:val="0"/>
      <w:marTop w:val="0"/>
      <w:marBottom w:val="0"/>
      <w:divBdr>
        <w:top w:val="none" w:sz="0" w:space="0" w:color="auto"/>
        <w:left w:val="none" w:sz="0" w:space="0" w:color="auto"/>
        <w:bottom w:val="none" w:sz="0" w:space="0" w:color="auto"/>
        <w:right w:val="none" w:sz="0" w:space="0" w:color="auto"/>
      </w:divBdr>
    </w:div>
    <w:div w:id="2102220566">
      <w:bodyDiv w:val="1"/>
      <w:marLeft w:val="0"/>
      <w:marRight w:val="0"/>
      <w:marTop w:val="0"/>
      <w:marBottom w:val="0"/>
      <w:divBdr>
        <w:top w:val="none" w:sz="0" w:space="0" w:color="auto"/>
        <w:left w:val="none" w:sz="0" w:space="0" w:color="auto"/>
        <w:bottom w:val="none" w:sz="0" w:space="0" w:color="auto"/>
        <w:right w:val="none" w:sz="0" w:space="0" w:color="auto"/>
      </w:divBdr>
    </w:div>
    <w:div w:id="2103867309">
      <w:bodyDiv w:val="1"/>
      <w:marLeft w:val="0"/>
      <w:marRight w:val="0"/>
      <w:marTop w:val="0"/>
      <w:marBottom w:val="0"/>
      <w:divBdr>
        <w:top w:val="none" w:sz="0" w:space="0" w:color="auto"/>
        <w:left w:val="none" w:sz="0" w:space="0" w:color="auto"/>
        <w:bottom w:val="none" w:sz="0" w:space="0" w:color="auto"/>
        <w:right w:val="none" w:sz="0" w:space="0" w:color="auto"/>
      </w:divBdr>
    </w:div>
    <w:div w:id="2106222782">
      <w:bodyDiv w:val="1"/>
      <w:marLeft w:val="0"/>
      <w:marRight w:val="0"/>
      <w:marTop w:val="0"/>
      <w:marBottom w:val="0"/>
      <w:divBdr>
        <w:top w:val="none" w:sz="0" w:space="0" w:color="auto"/>
        <w:left w:val="none" w:sz="0" w:space="0" w:color="auto"/>
        <w:bottom w:val="none" w:sz="0" w:space="0" w:color="auto"/>
        <w:right w:val="none" w:sz="0" w:space="0" w:color="auto"/>
      </w:divBdr>
    </w:div>
    <w:div w:id="2110731701">
      <w:bodyDiv w:val="1"/>
      <w:marLeft w:val="0"/>
      <w:marRight w:val="0"/>
      <w:marTop w:val="0"/>
      <w:marBottom w:val="0"/>
      <w:divBdr>
        <w:top w:val="none" w:sz="0" w:space="0" w:color="auto"/>
        <w:left w:val="none" w:sz="0" w:space="0" w:color="auto"/>
        <w:bottom w:val="none" w:sz="0" w:space="0" w:color="auto"/>
        <w:right w:val="none" w:sz="0" w:space="0" w:color="auto"/>
      </w:divBdr>
    </w:div>
    <w:div w:id="2125728374">
      <w:bodyDiv w:val="1"/>
      <w:marLeft w:val="0"/>
      <w:marRight w:val="0"/>
      <w:marTop w:val="0"/>
      <w:marBottom w:val="0"/>
      <w:divBdr>
        <w:top w:val="none" w:sz="0" w:space="0" w:color="auto"/>
        <w:left w:val="none" w:sz="0" w:space="0" w:color="auto"/>
        <w:bottom w:val="none" w:sz="0" w:space="0" w:color="auto"/>
        <w:right w:val="none" w:sz="0" w:space="0" w:color="auto"/>
      </w:divBdr>
    </w:div>
    <w:div w:id="2130313512">
      <w:bodyDiv w:val="1"/>
      <w:marLeft w:val="0"/>
      <w:marRight w:val="0"/>
      <w:marTop w:val="0"/>
      <w:marBottom w:val="0"/>
      <w:divBdr>
        <w:top w:val="none" w:sz="0" w:space="0" w:color="auto"/>
        <w:left w:val="none" w:sz="0" w:space="0" w:color="auto"/>
        <w:bottom w:val="none" w:sz="0" w:space="0" w:color="auto"/>
        <w:right w:val="none" w:sz="0" w:space="0" w:color="auto"/>
      </w:divBdr>
    </w:div>
    <w:div w:id="2134515641">
      <w:bodyDiv w:val="1"/>
      <w:marLeft w:val="0"/>
      <w:marRight w:val="0"/>
      <w:marTop w:val="0"/>
      <w:marBottom w:val="0"/>
      <w:divBdr>
        <w:top w:val="none" w:sz="0" w:space="0" w:color="auto"/>
        <w:left w:val="none" w:sz="0" w:space="0" w:color="auto"/>
        <w:bottom w:val="none" w:sz="0" w:space="0" w:color="auto"/>
        <w:right w:val="none" w:sz="0" w:space="0" w:color="auto"/>
      </w:divBdr>
    </w:div>
    <w:div w:id="2136437229">
      <w:bodyDiv w:val="1"/>
      <w:marLeft w:val="0"/>
      <w:marRight w:val="0"/>
      <w:marTop w:val="0"/>
      <w:marBottom w:val="0"/>
      <w:divBdr>
        <w:top w:val="none" w:sz="0" w:space="0" w:color="auto"/>
        <w:left w:val="none" w:sz="0" w:space="0" w:color="auto"/>
        <w:bottom w:val="none" w:sz="0" w:space="0" w:color="auto"/>
        <w:right w:val="none" w:sz="0" w:space="0" w:color="auto"/>
      </w:divBdr>
    </w:div>
    <w:div w:id="2138989926">
      <w:bodyDiv w:val="1"/>
      <w:marLeft w:val="0"/>
      <w:marRight w:val="0"/>
      <w:marTop w:val="0"/>
      <w:marBottom w:val="0"/>
      <w:divBdr>
        <w:top w:val="none" w:sz="0" w:space="0" w:color="auto"/>
        <w:left w:val="none" w:sz="0" w:space="0" w:color="auto"/>
        <w:bottom w:val="none" w:sz="0" w:space="0" w:color="auto"/>
        <w:right w:val="none" w:sz="0" w:space="0" w:color="auto"/>
      </w:divBdr>
    </w:div>
    <w:div w:id="2141412389">
      <w:bodyDiv w:val="1"/>
      <w:marLeft w:val="0"/>
      <w:marRight w:val="0"/>
      <w:marTop w:val="0"/>
      <w:marBottom w:val="0"/>
      <w:divBdr>
        <w:top w:val="none" w:sz="0" w:space="0" w:color="auto"/>
        <w:left w:val="none" w:sz="0" w:space="0" w:color="auto"/>
        <w:bottom w:val="none" w:sz="0" w:space="0" w:color="auto"/>
        <w:right w:val="none" w:sz="0" w:space="0" w:color="auto"/>
      </w:divBdr>
    </w:div>
    <w:div w:id="2144343395">
      <w:bodyDiv w:val="1"/>
      <w:marLeft w:val="0"/>
      <w:marRight w:val="0"/>
      <w:marTop w:val="0"/>
      <w:marBottom w:val="0"/>
      <w:divBdr>
        <w:top w:val="none" w:sz="0" w:space="0" w:color="auto"/>
        <w:left w:val="none" w:sz="0" w:space="0" w:color="auto"/>
        <w:bottom w:val="none" w:sz="0" w:space="0" w:color="auto"/>
        <w:right w:val="none" w:sz="0" w:space="0" w:color="auto"/>
      </w:divBdr>
    </w:div>
    <w:div w:id="2147161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ntariocourts.ca/decisions/2017/2017ONCA0087.htm" TargetMode="External"/><Relationship Id="rId299" Type="http://schemas.openxmlformats.org/officeDocument/2006/relationships/hyperlink" Target="http://www.ontariocourts.ca/decisions/2016/2016ONCA0365.htm" TargetMode="External"/><Relationship Id="rId21" Type="http://schemas.openxmlformats.org/officeDocument/2006/relationships/hyperlink" Target="http://www.ontariocourts.ca/decisions/2019/2019ONCA0776.htm" TargetMode="External"/><Relationship Id="rId63" Type="http://schemas.openxmlformats.org/officeDocument/2006/relationships/hyperlink" Target="https://www.ontariocourts.ca/decisions/2020/2020ONCA0795.htm" TargetMode="External"/><Relationship Id="rId159" Type="http://schemas.openxmlformats.org/officeDocument/2006/relationships/hyperlink" Target="http://www.ontariocourts.ca/decisions/2016/2016ONCA0276.htm" TargetMode="External"/><Relationship Id="rId324" Type="http://schemas.openxmlformats.org/officeDocument/2006/relationships/hyperlink" Target="https://www.ontariocourts.ca/decisions/2019/2019ONCA0860.htm" TargetMode="External"/><Relationship Id="rId366" Type="http://schemas.openxmlformats.org/officeDocument/2006/relationships/hyperlink" Target="https://www.ontariocourts.ca/decisions/2021/2021ONCA0014.htm" TargetMode="External"/><Relationship Id="rId170" Type="http://schemas.openxmlformats.org/officeDocument/2006/relationships/hyperlink" Target="https://www.ontariocourts.ca/decisions/2020/2020ONCA0365.htm" TargetMode="External"/><Relationship Id="rId226" Type="http://schemas.openxmlformats.org/officeDocument/2006/relationships/hyperlink" Target="https://scc-csc.lexum.com/scc-csc/scc-csc/en/item/17947/index.do" TargetMode="External"/><Relationship Id="rId433" Type="http://schemas.openxmlformats.org/officeDocument/2006/relationships/hyperlink" Target="https://scc-csc.lexum.com/scc-csc/scc-csc/en/item/14502/index.do" TargetMode="External"/><Relationship Id="rId268" Type="http://schemas.openxmlformats.org/officeDocument/2006/relationships/hyperlink" Target="https://www.ontariocourts.ca/decisions/2021/2021ONCA0382.htm" TargetMode="External"/><Relationship Id="rId475" Type="http://schemas.openxmlformats.org/officeDocument/2006/relationships/hyperlink" Target="https://scc-csc.lexum.com/scc-csc/scc-csc/en/item/18563/index.do" TargetMode="External"/><Relationship Id="rId32" Type="http://schemas.openxmlformats.org/officeDocument/2006/relationships/hyperlink" Target="http://www.ontariocourts.ca/decisions/2017/2017ONCA0273.htm" TargetMode="External"/><Relationship Id="rId74" Type="http://schemas.openxmlformats.org/officeDocument/2006/relationships/hyperlink" Target="https://www.canlii.org/en/ca/scc/doc/1992/1992canlii125/1992canlii125.html" TargetMode="External"/><Relationship Id="rId128" Type="http://schemas.openxmlformats.org/officeDocument/2006/relationships/hyperlink" Target="https://www.canlii.org/en/bc/bcsc/doc/2002/2002bcsc1731/2002bcsc1731.html?resultIndex=1" TargetMode="External"/><Relationship Id="rId335" Type="http://schemas.openxmlformats.org/officeDocument/2006/relationships/hyperlink" Target="http://www.ontariocourts.ca/decisions/2018/2018ONCA0594.htm" TargetMode="External"/><Relationship Id="rId377" Type="http://schemas.openxmlformats.org/officeDocument/2006/relationships/hyperlink" Target="http://www.ontariocourts.ca/decisions/2017/2017ONCA0374.htm" TargetMode="External"/><Relationship Id="rId5" Type="http://schemas.openxmlformats.org/officeDocument/2006/relationships/webSettings" Target="webSettings.xml"/><Relationship Id="rId181" Type="http://schemas.openxmlformats.org/officeDocument/2006/relationships/hyperlink" Target="http://www.ontariocourts.ca/decisions/2015/2015ONCA0860.htm" TargetMode="External"/><Relationship Id="rId237" Type="http://schemas.openxmlformats.org/officeDocument/2006/relationships/hyperlink" Target="https://www.ontariocourts.ca/decisions/2020/2020ONCA0678.htm" TargetMode="External"/><Relationship Id="rId402" Type="http://schemas.openxmlformats.org/officeDocument/2006/relationships/hyperlink" Target="http://www.ontariocourts.ca/decisions/2018/2018ONCA0674.htm" TargetMode="External"/><Relationship Id="rId279" Type="http://schemas.openxmlformats.org/officeDocument/2006/relationships/hyperlink" Target="http://www.ontariocourts.ca/decisions/2016/2016ONCA0121.htm" TargetMode="External"/><Relationship Id="rId444" Type="http://schemas.openxmlformats.org/officeDocument/2006/relationships/hyperlink" Target="https://scc-csc.lexum.com/scc-csc/scc-csc/en/item/14502/index.do" TargetMode="External"/><Relationship Id="rId43" Type="http://schemas.openxmlformats.org/officeDocument/2006/relationships/hyperlink" Target="http://www.ontariocourts.ca/decisions/2018/2018ONCA0425.htm" TargetMode="External"/><Relationship Id="rId139" Type="http://schemas.openxmlformats.org/officeDocument/2006/relationships/hyperlink" Target="https://www.ontariocourts.ca/decisions/2019/2019ONCA1011.htm" TargetMode="External"/><Relationship Id="rId290" Type="http://schemas.openxmlformats.org/officeDocument/2006/relationships/hyperlink" Target="http://www.ontariocourts.ca/decisions/2018/2018ONCA0411.htm" TargetMode="External"/><Relationship Id="rId304" Type="http://schemas.openxmlformats.org/officeDocument/2006/relationships/hyperlink" Target="http://www.ontariocourts.ca/decisions/2018/2018ONCA0745.htm" TargetMode="External"/><Relationship Id="rId346" Type="http://schemas.openxmlformats.org/officeDocument/2006/relationships/hyperlink" Target="https://www.ontariocourts.ca/decisions/2021/2021ONCA0068.htm" TargetMode="External"/><Relationship Id="rId388" Type="http://schemas.openxmlformats.org/officeDocument/2006/relationships/hyperlink" Target="https://scc-csc.lexum.com/scc-csc/scc-csc/en/item/18932/index.dohttps:/scc-csc.lexum.com/scc-csc/scc-csc/en/item/18932/index.do" TargetMode="External"/><Relationship Id="rId85" Type="http://schemas.openxmlformats.org/officeDocument/2006/relationships/hyperlink" Target="http://www.ontariocourts.ca/decisions/2018/2018ONCA0056.htm" TargetMode="External"/><Relationship Id="rId150" Type="http://schemas.openxmlformats.org/officeDocument/2006/relationships/hyperlink" Target="http://www.ontariocourts.ca/decisions/2015/2015ONCA0260.htm" TargetMode="External"/><Relationship Id="rId192" Type="http://schemas.openxmlformats.org/officeDocument/2006/relationships/hyperlink" Target="https://www.ontario.ca/laws/statute/90c11" TargetMode="External"/><Relationship Id="rId206" Type="http://schemas.openxmlformats.org/officeDocument/2006/relationships/hyperlink" Target="https://www.ontariocourts.ca/decisions/2020/2020ONCA0025.htm" TargetMode="External"/><Relationship Id="rId413" Type="http://schemas.openxmlformats.org/officeDocument/2006/relationships/hyperlink" Target="https://www.ontariocourts.ca/decisions/2021/2021ONCA0240.htm" TargetMode="External"/><Relationship Id="rId248" Type="http://schemas.openxmlformats.org/officeDocument/2006/relationships/hyperlink" Target="http://www.ontariocourts.ca/decisions/2016/2016ONCA0365.htm" TargetMode="External"/><Relationship Id="rId455" Type="http://schemas.openxmlformats.org/officeDocument/2006/relationships/hyperlink" Target="http://www.ontariocourts.ca/decisions/2018/2018ONCA0745.htm" TargetMode="External"/><Relationship Id="rId12" Type="http://schemas.openxmlformats.org/officeDocument/2006/relationships/hyperlink" Target="https://scc-csc.lexum.com/scc-csc/scc-csc/en/item/18529/index.do" TargetMode="External"/><Relationship Id="rId108" Type="http://schemas.openxmlformats.org/officeDocument/2006/relationships/hyperlink" Target="https://www.ontariocourts.ca/decisions/2020/2020ONCA0766.htm" TargetMode="External"/><Relationship Id="rId315" Type="http://schemas.openxmlformats.org/officeDocument/2006/relationships/hyperlink" Target="http://www.ontariocourts.ca/decisions/2018/2018ONCA0541.htm" TargetMode="External"/><Relationship Id="rId357" Type="http://schemas.openxmlformats.org/officeDocument/2006/relationships/hyperlink" Target="https://www.ontariocourts.ca/decisions/2021/2021ONCA0326.htm" TargetMode="External"/><Relationship Id="rId54" Type="http://schemas.openxmlformats.org/officeDocument/2006/relationships/hyperlink" Target="http://www.ontariocourts.ca/decisions/2019/2019ONCA0252.htm" TargetMode="External"/><Relationship Id="rId96" Type="http://schemas.openxmlformats.org/officeDocument/2006/relationships/hyperlink" Target="http://www.ontariocourts.ca/decisions/2016/2016ONCA0873.htm" TargetMode="External"/><Relationship Id="rId161" Type="http://schemas.openxmlformats.org/officeDocument/2006/relationships/hyperlink" Target="http://www.ontariocourts.ca/decisions/2017/2017ONCA0654.htm" TargetMode="External"/><Relationship Id="rId217" Type="http://schemas.openxmlformats.org/officeDocument/2006/relationships/hyperlink" Target="https://scc-csc.lexum.com/scc-csc/scc-csc/en/item/559/index.do" TargetMode="External"/><Relationship Id="rId399" Type="http://schemas.openxmlformats.org/officeDocument/2006/relationships/hyperlink" Target="http://www.ontariocourts.ca/decisions/2018/2018ONCA0674.htm" TargetMode="External"/><Relationship Id="rId259" Type="http://schemas.openxmlformats.org/officeDocument/2006/relationships/hyperlink" Target="http://www.ontariocourts.ca/decisions/2017/2017ONCA0543.htm" TargetMode="External"/><Relationship Id="rId424" Type="http://schemas.openxmlformats.org/officeDocument/2006/relationships/hyperlink" Target="http://www.ontariocourts.ca/decisions/2018/2018ONCA0695.htm" TargetMode="External"/><Relationship Id="rId466" Type="http://schemas.openxmlformats.org/officeDocument/2006/relationships/hyperlink" Target="https://www.ontariocourts.ca/decisions/2019/2019ONCA0665.htm" TargetMode="External"/><Relationship Id="rId23" Type="http://schemas.openxmlformats.org/officeDocument/2006/relationships/hyperlink" Target="https://www.ontariocourts.ca/decisions/2020/2020ONCA0291.htm" TargetMode="External"/><Relationship Id="rId119" Type="http://schemas.openxmlformats.org/officeDocument/2006/relationships/hyperlink" Target="https://scc-csc.lexum.com/scc-csc/scc-csc/en/item/18033/index.do" TargetMode="External"/><Relationship Id="rId270" Type="http://schemas.openxmlformats.org/officeDocument/2006/relationships/hyperlink" Target="http://www.ontariocourts.ca/decisions/2018/2018ONCA0584.htm" TargetMode="External"/><Relationship Id="rId326" Type="http://schemas.openxmlformats.org/officeDocument/2006/relationships/hyperlink" Target="http://www.ontariocourts.ca/decisions/2018/2018ONCA0942.htm" TargetMode="External"/><Relationship Id="rId65" Type="http://schemas.openxmlformats.org/officeDocument/2006/relationships/hyperlink" Target="https://scc-csc.lexum.com/scc-csc/scc-csc/en/item/16664/index.do" TargetMode="External"/><Relationship Id="rId130" Type="http://schemas.openxmlformats.org/officeDocument/2006/relationships/hyperlink" Target="http://www.ontariocourts.ca/decisions/2018/2018ONCA0638.htm" TargetMode="External"/><Relationship Id="rId368" Type="http://schemas.openxmlformats.org/officeDocument/2006/relationships/hyperlink" Target="https://www.ontariocourts.ca/decisions/2020/2020ONCA0609.htm" TargetMode="External"/><Relationship Id="rId172" Type="http://schemas.openxmlformats.org/officeDocument/2006/relationships/hyperlink" Target="http://www.ontariocourts.ca/decisions/2017/2017ONCA0290.htm" TargetMode="External"/><Relationship Id="rId228" Type="http://schemas.openxmlformats.org/officeDocument/2006/relationships/hyperlink" Target="https://www.ontariocourts.ca/decisions/2021/2021ONCA0222.htm" TargetMode="External"/><Relationship Id="rId435" Type="http://schemas.openxmlformats.org/officeDocument/2006/relationships/hyperlink" Target="http://www.ontariocourts.ca/decisions/2017/2017ONCA0543.htm" TargetMode="External"/><Relationship Id="rId477" Type="http://schemas.openxmlformats.org/officeDocument/2006/relationships/hyperlink" Target="https://www.canlii.org/en/on/onsc/doc/2017/2017onsc7491/2017onsc7491.pdf" TargetMode="External"/><Relationship Id="rId281" Type="http://schemas.openxmlformats.org/officeDocument/2006/relationships/hyperlink" Target="https://www.ontariocourts.ca/decisions/2021/2021ONCA0791.htm" TargetMode="External"/><Relationship Id="rId337" Type="http://schemas.openxmlformats.org/officeDocument/2006/relationships/hyperlink" Target="https://www.ontariocourts.ca/decisions/2020/2020ONCA0580.htm" TargetMode="External"/><Relationship Id="rId34" Type="http://schemas.openxmlformats.org/officeDocument/2006/relationships/hyperlink" Target="http://www.ontariocourts.ca/decisions/2018/2018ONCA0009.htm" TargetMode="External"/><Relationship Id="rId76" Type="http://schemas.openxmlformats.org/officeDocument/2006/relationships/hyperlink" Target="http://www.ontariocourts.ca/decisions/2016/2016ONCA0121.htm" TargetMode="External"/><Relationship Id="rId141" Type="http://schemas.openxmlformats.org/officeDocument/2006/relationships/hyperlink" Target="http://www.ontariocourts.ca/decisions/2016/2016ONCA0308.htm" TargetMode="External"/><Relationship Id="rId379" Type="http://schemas.openxmlformats.org/officeDocument/2006/relationships/hyperlink" Target="http://www.ontariocourts.ca/decisions/2018/2018ONCA0312.htm" TargetMode="External"/><Relationship Id="rId7" Type="http://schemas.openxmlformats.org/officeDocument/2006/relationships/endnotes" Target="endnotes.xml"/><Relationship Id="rId183" Type="http://schemas.openxmlformats.org/officeDocument/2006/relationships/hyperlink" Target="https://www.ontariocourts.ca/decisions/2020/2020ONCA0750.htm" TargetMode="External"/><Relationship Id="rId239" Type="http://schemas.openxmlformats.org/officeDocument/2006/relationships/hyperlink" Target="http://www.ontariocourts.ca/decisions/2019/2019ONCA0032.htm" TargetMode="External"/><Relationship Id="rId390" Type="http://schemas.openxmlformats.org/officeDocument/2006/relationships/hyperlink" Target="https://www.canlii.org/en/ca/laws/stat/rsc-1985-c-c-46/latest/rsc-1985-c-c-46.html" TargetMode="External"/><Relationship Id="rId404" Type="http://schemas.openxmlformats.org/officeDocument/2006/relationships/hyperlink" Target="http://www.ontariocourts.ca/decisions/2018/2018ONCA0210.htm" TargetMode="External"/><Relationship Id="rId446" Type="http://schemas.openxmlformats.org/officeDocument/2006/relationships/hyperlink" Target="https://www.ontariocourts.ca/decisions/2021/2021ONCA0451.htm" TargetMode="External"/><Relationship Id="rId250" Type="http://schemas.openxmlformats.org/officeDocument/2006/relationships/hyperlink" Target="http://www.ontariocourts.ca/decisions/2016/2016ONCA0365.htm" TargetMode="External"/><Relationship Id="rId292" Type="http://schemas.openxmlformats.org/officeDocument/2006/relationships/hyperlink" Target="https://www.ontariocourts.ca/decisions/2019/2019ONCA0860.htm" TargetMode="External"/><Relationship Id="rId306" Type="http://schemas.openxmlformats.org/officeDocument/2006/relationships/hyperlink" Target="http://www.ontariocourts.ca/decisions/2018/2018ONCA0830.htm" TargetMode="External"/><Relationship Id="rId45" Type="http://schemas.openxmlformats.org/officeDocument/2006/relationships/hyperlink" Target="https://www.ontariocourts.ca/decisions/2020/2020ONCA0274.htm" TargetMode="External"/><Relationship Id="rId87" Type="http://schemas.openxmlformats.org/officeDocument/2006/relationships/hyperlink" Target="https://www.ontariocourts.ca/decisions/2021/2021ONCA0021.htm" TargetMode="External"/><Relationship Id="rId110" Type="http://schemas.openxmlformats.org/officeDocument/2006/relationships/hyperlink" Target="http://www.ontariocourts.ca/decisions/2018/2018ONCA0638.htm" TargetMode="External"/><Relationship Id="rId348" Type="http://schemas.openxmlformats.org/officeDocument/2006/relationships/hyperlink" Target="https://scc-csc.lexum.com/scc-csc/scc-csc/en/item/18421/index.do" TargetMode="External"/><Relationship Id="rId152" Type="http://schemas.openxmlformats.org/officeDocument/2006/relationships/hyperlink" Target="http://www.ontariocourts.ca/decisions/2016/2016ONCA0379.htm" TargetMode="External"/><Relationship Id="rId194" Type="http://schemas.openxmlformats.org/officeDocument/2006/relationships/hyperlink" Target="http://laws-lois.justice.gc.ca/eng/acts/C-46/page-138.html" TargetMode="External"/><Relationship Id="rId208" Type="http://schemas.openxmlformats.org/officeDocument/2006/relationships/hyperlink" Target="http://laws-lois.justice.gc.ca/eng/acts/C-46/page-43.html" TargetMode="External"/><Relationship Id="rId415" Type="http://schemas.openxmlformats.org/officeDocument/2006/relationships/hyperlink" Target="http://www.ontariocourts.ca/decisions/2016/2016ONCA0252.htm" TargetMode="External"/><Relationship Id="rId457" Type="http://schemas.openxmlformats.org/officeDocument/2006/relationships/hyperlink" Target="https://www.ontariocourts.ca/decisions/2020/2020ONCA0362.htm" TargetMode="External"/><Relationship Id="rId261" Type="http://schemas.openxmlformats.org/officeDocument/2006/relationships/hyperlink" Target="http://www.ontariocourts.ca/decisions/2016/2016ONCA0248.htm" TargetMode="External"/><Relationship Id="rId14" Type="http://schemas.openxmlformats.org/officeDocument/2006/relationships/hyperlink" Target="https://www.ontariocourts.ca/decisions/2021/2021ONCA0253.htm" TargetMode="External"/><Relationship Id="rId56" Type="http://schemas.openxmlformats.org/officeDocument/2006/relationships/hyperlink" Target="https://www.ontariocourts.ca/decisions/2020/2020ONCA0291.htm" TargetMode="External"/><Relationship Id="rId317" Type="http://schemas.openxmlformats.org/officeDocument/2006/relationships/hyperlink" Target="http://www.ontariocourts.ca/decisions/2018/2018ONCA0411.htm" TargetMode="External"/><Relationship Id="rId359" Type="http://schemas.openxmlformats.org/officeDocument/2006/relationships/hyperlink" Target="https://www.ontariocourts.ca/decisions/2021/2021ONCA0059.htm" TargetMode="External"/><Relationship Id="rId98" Type="http://schemas.openxmlformats.org/officeDocument/2006/relationships/hyperlink" Target="http://www.ontariocourts.ca/decisions/2018/2018ONCA0115.htm" TargetMode="External"/><Relationship Id="rId121" Type="http://schemas.openxmlformats.org/officeDocument/2006/relationships/hyperlink" Target="https://scc-csc.lexum.com/scc-csc/scc-csc/en/item/18033/index.do" TargetMode="External"/><Relationship Id="rId163" Type="http://schemas.openxmlformats.org/officeDocument/2006/relationships/hyperlink" Target="http://www.ontariocourts.ca/decisions/2017/2017ONCA0543.htm" TargetMode="External"/><Relationship Id="rId219" Type="http://schemas.openxmlformats.org/officeDocument/2006/relationships/hyperlink" Target="http://www.ontariocourts.ca/decisions/2016/2016ONCA0160.htm" TargetMode="External"/><Relationship Id="rId370" Type="http://schemas.openxmlformats.org/officeDocument/2006/relationships/hyperlink" Target="https://www.ontariocourts.ca/decisions/2021/2021ONCA0014.htm" TargetMode="External"/><Relationship Id="rId426" Type="http://schemas.openxmlformats.org/officeDocument/2006/relationships/hyperlink" Target="https://scc-csc.lexum.com/scc-csc/scc-csc/en/item/17801/index.do" TargetMode="External"/><Relationship Id="rId230" Type="http://schemas.openxmlformats.org/officeDocument/2006/relationships/hyperlink" Target="http://www.ontariocourts.ca/decisions/2016/2016ONCA0402.htm" TargetMode="External"/><Relationship Id="rId468" Type="http://schemas.openxmlformats.org/officeDocument/2006/relationships/hyperlink" Target="https://www.ontariocourts.ca/decisions/2021/2021ONCA0303.htm" TargetMode="External"/><Relationship Id="rId25" Type="http://schemas.openxmlformats.org/officeDocument/2006/relationships/hyperlink" Target="https://www.ontariocourts.ca/decisions/2021/2021ONCA0373.htm" TargetMode="External"/><Relationship Id="rId67" Type="http://schemas.openxmlformats.org/officeDocument/2006/relationships/hyperlink" Target="https://www.canlii.org/en/on/onsc/doc/2017/2017onsc7491/2017onsc7491.pdf" TargetMode="External"/><Relationship Id="rId272" Type="http://schemas.openxmlformats.org/officeDocument/2006/relationships/hyperlink" Target="https://www.ontario.ca/laws/statute/90h08" TargetMode="External"/><Relationship Id="rId328" Type="http://schemas.openxmlformats.org/officeDocument/2006/relationships/hyperlink" Target="https://www.ontariocourts.ca/decisions/2019/2019ONCA0600.htm" TargetMode="External"/><Relationship Id="rId132" Type="http://schemas.openxmlformats.org/officeDocument/2006/relationships/hyperlink" Target="http://www.ontariocourts.ca/decisions/2018/2018ONCA0110.htm" TargetMode="External"/><Relationship Id="rId174" Type="http://schemas.openxmlformats.org/officeDocument/2006/relationships/hyperlink" Target="http://www.ontariocourts.ca/decisions/2019/2019ONCA0068.htm" TargetMode="External"/><Relationship Id="rId381" Type="http://schemas.openxmlformats.org/officeDocument/2006/relationships/hyperlink" Target="https://www.ontariocourts.ca/decisions/2020/2020ONCA0743.htm" TargetMode="External"/><Relationship Id="rId241" Type="http://schemas.openxmlformats.org/officeDocument/2006/relationships/hyperlink" Target="http://www.ontariocourts.ca/decisions/2016/2016ONCA0365.htm" TargetMode="External"/><Relationship Id="rId437" Type="http://schemas.openxmlformats.org/officeDocument/2006/relationships/hyperlink" Target="http://www.ontariocourts.ca/decisions/2018/2018ONCA0975.htm" TargetMode="External"/><Relationship Id="rId479" Type="http://schemas.openxmlformats.org/officeDocument/2006/relationships/footer" Target="footer1.xml"/><Relationship Id="rId36" Type="http://schemas.openxmlformats.org/officeDocument/2006/relationships/hyperlink" Target="https://www.ontariocourts.ca/decisions/2021/2021ONCA0373.htm" TargetMode="External"/><Relationship Id="rId283" Type="http://schemas.openxmlformats.org/officeDocument/2006/relationships/hyperlink" Target="http://www.ontariocourts.ca/decisions/2018/2018ONCA0493.htm" TargetMode="External"/><Relationship Id="rId339" Type="http://schemas.openxmlformats.org/officeDocument/2006/relationships/hyperlink" Target="http://www.ontariocourts.ca/decisions/2017/2017ONCA0644.htm" TargetMode="External"/><Relationship Id="rId78" Type="http://schemas.openxmlformats.org/officeDocument/2006/relationships/hyperlink" Target="http://www.ontariocourts.ca/decisions/2016/2016ONCA0121.htm" TargetMode="External"/><Relationship Id="rId101" Type="http://schemas.openxmlformats.org/officeDocument/2006/relationships/hyperlink" Target="http://www.ontariocourts.ca/decisions/2019/2019ONCA0258.htm" TargetMode="External"/><Relationship Id="rId143" Type="http://schemas.openxmlformats.org/officeDocument/2006/relationships/hyperlink" Target="http://www.ontariocourts.ca/decisions/2018/2018ONCA0927.htm" TargetMode="External"/><Relationship Id="rId185" Type="http://schemas.openxmlformats.org/officeDocument/2006/relationships/hyperlink" Target="https://www.ontariocourts.ca/decisions/2020/2020ONCA0750.htm" TargetMode="External"/><Relationship Id="rId350" Type="http://schemas.openxmlformats.org/officeDocument/2006/relationships/hyperlink" Target="http://www.ontariocourts.ca/decisions/2018/2018ONCA0489.htm" TargetMode="External"/><Relationship Id="rId406" Type="http://schemas.openxmlformats.org/officeDocument/2006/relationships/hyperlink" Target="http://www.ontariocourts.ca/decisions/2014/2014ONCA0448.htm" TargetMode="External"/><Relationship Id="rId9" Type="http://schemas.openxmlformats.org/officeDocument/2006/relationships/hyperlink" Target="https://qweri.lexum.com/calegis/schedule-b-to-the-canada-act-1982-uk-1982-c-11-en" TargetMode="External"/><Relationship Id="rId210" Type="http://schemas.openxmlformats.org/officeDocument/2006/relationships/hyperlink" Target="http://www.ontariocourts.ca/decisions/2016/2016ONCA0160.htm" TargetMode="External"/><Relationship Id="rId392" Type="http://schemas.openxmlformats.org/officeDocument/2006/relationships/hyperlink" Target="http://www.ontariocourts.ca/decisions/2016/2016ONCA0374.htm" TargetMode="External"/><Relationship Id="rId448" Type="http://schemas.openxmlformats.org/officeDocument/2006/relationships/hyperlink" Target="http://www.ontariocourts.ca/decisions/2017/2017ONCA0628.htm" TargetMode="External"/><Relationship Id="rId252" Type="http://schemas.openxmlformats.org/officeDocument/2006/relationships/hyperlink" Target="http://www.ontariocourts.ca/decisions/2018/2018ONCA0975.htm" TargetMode="External"/><Relationship Id="rId294" Type="http://schemas.openxmlformats.org/officeDocument/2006/relationships/hyperlink" Target="http://www.ontariocourts.ca/decisions/2016/2016ONCA0365.htm" TargetMode="External"/><Relationship Id="rId308" Type="http://schemas.openxmlformats.org/officeDocument/2006/relationships/hyperlink" Target="https://www.ontariocourts.ca/decisions/2019/2019ONCA0860.htm" TargetMode="External"/><Relationship Id="rId47" Type="http://schemas.openxmlformats.org/officeDocument/2006/relationships/hyperlink" Target="https://www.ontariocourts.ca/decisions/2020/2020ONCA0287.htm" TargetMode="External"/><Relationship Id="rId89" Type="http://schemas.openxmlformats.org/officeDocument/2006/relationships/hyperlink" Target="http://www.ontariocourts.ca/decisions/2016/2016ONCA0542.htm" TargetMode="External"/><Relationship Id="rId112" Type="http://schemas.openxmlformats.org/officeDocument/2006/relationships/hyperlink" Target="http://www.ontariocourts.ca/decisions/2018/2018ONCA0695.htm" TargetMode="External"/><Relationship Id="rId154" Type="http://schemas.openxmlformats.org/officeDocument/2006/relationships/hyperlink" Target="http://www.ontariocourts.ca/decisions/2016/2016ONCA0379.htm" TargetMode="External"/><Relationship Id="rId361" Type="http://schemas.openxmlformats.org/officeDocument/2006/relationships/hyperlink" Target="http://www.ontariocourts.ca/decisions/2019/2019ONCA0726.htm" TargetMode="External"/><Relationship Id="rId196" Type="http://schemas.openxmlformats.org/officeDocument/2006/relationships/hyperlink" Target="http://www.ontariocourts.ca/decisions/2017/2017ONCA0257.htm" TargetMode="External"/><Relationship Id="rId417" Type="http://schemas.openxmlformats.org/officeDocument/2006/relationships/hyperlink" Target="https://www.ontariocourts.ca/decisions/2021/2021ONCA0179.htm" TargetMode="External"/><Relationship Id="rId459" Type="http://schemas.openxmlformats.org/officeDocument/2006/relationships/hyperlink" Target="http://www.ontariocourts.ca/decisions/2019/2019ONCA0420.htm" TargetMode="External"/><Relationship Id="rId16" Type="http://schemas.openxmlformats.org/officeDocument/2006/relationships/hyperlink" Target="https://www.ontariocourts.ca/decisions/2021/2021ONCA0253.htm" TargetMode="External"/><Relationship Id="rId221" Type="http://schemas.openxmlformats.org/officeDocument/2006/relationships/hyperlink" Target="https://www.ontariocourts.ca/decisions/2021/2021ONCA0200.htm" TargetMode="External"/><Relationship Id="rId263" Type="http://schemas.openxmlformats.org/officeDocument/2006/relationships/hyperlink" Target="https://www.ontariocourts.ca/decisions/2017/2017ONCA0543.htm" TargetMode="External"/><Relationship Id="rId319" Type="http://schemas.openxmlformats.org/officeDocument/2006/relationships/hyperlink" Target="http://www.ontariocourts.ca/decisions/2017/2017ONCA0596.htm" TargetMode="External"/><Relationship Id="rId470" Type="http://schemas.openxmlformats.org/officeDocument/2006/relationships/hyperlink" Target="https://www.canlii.org/en/on/onscdc/doc/2017/2017onsc2074/2017onsc2074.html" TargetMode="External"/><Relationship Id="rId58" Type="http://schemas.openxmlformats.org/officeDocument/2006/relationships/hyperlink" Target="https://www.ontariocourts.ca/decisions/2020/2020ONCA0291.htm" TargetMode="External"/><Relationship Id="rId123" Type="http://schemas.openxmlformats.org/officeDocument/2006/relationships/hyperlink" Target="http://www.ontariocourts.ca/decisions/2017/2017ONCA0635.htm" TargetMode="External"/><Relationship Id="rId330" Type="http://schemas.openxmlformats.org/officeDocument/2006/relationships/hyperlink" Target="https://www.ontariocourts.ca/decisions/2020/2020ONCA0755.htm" TargetMode="External"/><Relationship Id="rId165" Type="http://schemas.openxmlformats.org/officeDocument/2006/relationships/hyperlink" Target="https://www.ontariocourts.ca/decisions/2019/2019ONCA0665.htm" TargetMode="External"/><Relationship Id="rId372" Type="http://schemas.openxmlformats.org/officeDocument/2006/relationships/hyperlink" Target="http://www.ontariocourts.ca/decisions/2018/2018ONCA0489.htm" TargetMode="External"/><Relationship Id="rId428" Type="http://schemas.openxmlformats.org/officeDocument/2006/relationships/hyperlink" Target="http://www.ontariocourts.ca/decisions/2018/2018ONCA0918.htm" TargetMode="External"/><Relationship Id="rId232" Type="http://schemas.openxmlformats.org/officeDocument/2006/relationships/hyperlink" Target="http://www.ontariocourts.ca/decisions/2019/2019ONCA0405.htm" TargetMode="External"/><Relationship Id="rId274" Type="http://schemas.openxmlformats.org/officeDocument/2006/relationships/hyperlink" Target="http://www.ontariocourts.ca/decisions/2017/2017ONCA0543.htm" TargetMode="External"/><Relationship Id="rId481" Type="http://schemas.openxmlformats.org/officeDocument/2006/relationships/fontTable" Target="fontTable.xml"/><Relationship Id="rId27" Type="http://schemas.openxmlformats.org/officeDocument/2006/relationships/hyperlink" Target="http://www.ontariocourts.ca/decisions/2018/2018ONCA0184.htm" TargetMode="External"/><Relationship Id="rId69" Type="http://schemas.openxmlformats.org/officeDocument/2006/relationships/hyperlink" Target="http://www.ontariocourts.ca/decisions/2017/2017ONCA0812.htm" TargetMode="External"/><Relationship Id="rId134" Type="http://schemas.openxmlformats.org/officeDocument/2006/relationships/hyperlink" Target="http://www.ontariocourts.ca/decisions/2016/2016ONCA0379.htm" TargetMode="External"/><Relationship Id="rId80" Type="http://schemas.openxmlformats.org/officeDocument/2006/relationships/hyperlink" Target="http://www.ontariocourts.ca/decisions/2017/2017ONCA0649.htm" TargetMode="External"/><Relationship Id="rId176" Type="http://schemas.openxmlformats.org/officeDocument/2006/relationships/hyperlink" Target="http://www.ontariocourts.ca/decisions/2017/2017ONCA0543.htm" TargetMode="External"/><Relationship Id="rId341" Type="http://schemas.openxmlformats.org/officeDocument/2006/relationships/hyperlink" Target="http://www.ontariocourts.ca/decisions/2019/2019ONCA0160.htm" TargetMode="External"/><Relationship Id="rId383" Type="http://schemas.openxmlformats.org/officeDocument/2006/relationships/hyperlink" Target="https://www.ontariocourts.ca/decisions/2020/2020ONCA0357.htm" TargetMode="External"/><Relationship Id="rId439" Type="http://schemas.openxmlformats.org/officeDocument/2006/relationships/hyperlink" Target="https://www.ontariocourts.ca/decisions/2019/2019ONCA0665.htm" TargetMode="External"/><Relationship Id="rId201" Type="http://schemas.openxmlformats.org/officeDocument/2006/relationships/hyperlink" Target="http://www.ontariocourts.ca/decisions/2017/2017ONCA0635.htm" TargetMode="External"/><Relationship Id="rId243" Type="http://schemas.openxmlformats.org/officeDocument/2006/relationships/hyperlink" Target="http://www.ontariocourts.ca/decisions/2016/2016ONCA0160.htm" TargetMode="External"/><Relationship Id="rId285" Type="http://schemas.openxmlformats.org/officeDocument/2006/relationships/hyperlink" Target="http://www.ontariocourts.ca/decisions/2016/2016ONCA0121.htm" TargetMode="External"/><Relationship Id="rId450" Type="http://schemas.openxmlformats.org/officeDocument/2006/relationships/hyperlink" Target="http://www.ontariocourts.ca/decisions/2018/2018ONCA0918.htm" TargetMode="External"/><Relationship Id="rId38" Type="http://schemas.openxmlformats.org/officeDocument/2006/relationships/hyperlink" Target="http://www.ontariocourts.ca/decisions/2018/2018ONCA0425.htm" TargetMode="External"/><Relationship Id="rId103" Type="http://schemas.openxmlformats.org/officeDocument/2006/relationships/hyperlink" Target="http://www.ontariocourts.ca/decisions/2016/2016ONCA0248.htm" TargetMode="External"/><Relationship Id="rId310" Type="http://schemas.openxmlformats.org/officeDocument/2006/relationships/hyperlink" Target="https://www.ontariocourts.ca/decisions/2021/2021ONCA0758.htm" TargetMode="External"/><Relationship Id="rId91" Type="http://schemas.openxmlformats.org/officeDocument/2006/relationships/hyperlink" Target="https://supremeadvocacy.us4.list-manage.com/track/click?u=cb91b44008ea1b58b58a67734&amp;id=af6aa0380b&amp;e=77fac5376a" TargetMode="External"/><Relationship Id="rId145" Type="http://schemas.openxmlformats.org/officeDocument/2006/relationships/hyperlink" Target="http://www.ontariocourts.ca/decisions/2018/2018ONCA0927.htm" TargetMode="External"/><Relationship Id="rId187" Type="http://schemas.openxmlformats.org/officeDocument/2006/relationships/hyperlink" Target="https://www.ontario.ca/laws/statute/90c11" TargetMode="External"/><Relationship Id="rId352" Type="http://schemas.openxmlformats.org/officeDocument/2006/relationships/hyperlink" Target="https://qweri.lexum.com/calegis/schedule-b-to-the-canada-act-1982-uk-1982-c-11-en" TargetMode="External"/><Relationship Id="rId394" Type="http://schemas.openxmlformats.org/officeDocument/2006/relationships/hyperlink" Target="https://qweri.lexum.com/calegis/schedule-b-to-the-canada-act-1982-uk-1982-c-11-en" TargetMode="External"/><Relationship Id="rId408" Type="http://schemas.openxmlformats.org/officeDocument/2006/relationships/hyperlink" Target="http://www.ontariocourts.ca/decisions/2019/2019ONCA0546.htm" TargetMode="External"/><Relationship Id="rId212" Type="http://schemas.openxmlformats.org/officeDocument/2006/relationships/hyperlink" Target="https://www.ontariocourts.ca/decisions/2021/2021ONCA0200.htm" TargetMode="External"/><Relationship Id="rId254" Type="http://schemas.openxmlformats.org/officeDocument/2006/relationships/hyperlink" Target="http://www.ontariocourts.ca/decisions/2019/2019ONCA0032.htm" TargetMode="External"/><Relationship Id="rId49" Type="http://schemas.openxmlformats.org/officeDocument/2006/relationships/hyperlink" Target="http://www.ontariocourts.ca/decisions/2019/2019ONCA0094.htm" TargetMode="External"/><Relationship Id="rId114" Type="http://schemas.openxmlformats.org/officeDocument/2006/relationships/hyperlink" Target="http://www.ontariocourts.ca/decisions/2016/2016ONCA0402.htm" TargetMode="External"/><Relationship Id="rId296" Type="http://schemas.openxmlformats.org/officeDocument/2006/relationships/hyperlink" Target="https://scc-csc.lexum.com/scc-csc/scc-csc/en/item/14351/index.do" TargetMode="External"/><Relationship Id="rId461" Type="http://schemas.openxmlformats.org/officeDocument/2006/relationships/hyperlink" Target="https://www.ontariocourts.ca/decisions/2020/2020ONCA0025.htm" TargetMode="External"/><Relationship Id="rId60" Type="http://schemas.openxmlformats.org/officeDocument/2006/relationships/hyperlink" Target="http://www.ontariocourts.ca/decisions/2017/2017ONCA0432.htm" TargetMode="External"/><Relationship Id="rId156" Type="http://schemas.openxmlformats.org/officeDocument/2006/relationships/hyperlink" Target="http://www.ontariocourts.ca/decisions/2017/2017ONCA0204.htm" TargetMode="External"/><Relationship Id="rId198" Type="http://schemas.openxmlformats.org/officeDocument/2006/relationships/hyperlink" Target="http://www.ontariocourts.ca/decisions/2016/2016ONCA0031.htm" TargetMode="External"/><Relationship Id="rId321" Type="http://schemas.openxmlformats.org/officeDocument/2006/relationships/hyperlink" Target="http://www.ontariocourts.ca/decisions/2016/2016ONCA0389.htm" TargetMode="External"/><Relationship Id="rId363" Type="http://schemas.openxmlformats.org/officeDocument/2006/relationships/hyperlink" Target="http://www.ontariocourts.ca/decisions/2018/2018ONCA0650.htm" TargetMode="External"/><Relationship Id="rId419" Type="http://schemas.openxmlformats.org/officeDocument/2006/relationships/hyperlink" Target="https://www.canlii.org/en/on/onca/doc/2016/2016onca989/2016onca989.html" TargetMode="External"/><Relationship Id="rId223" Type="http://schemas.openxmlformats.org/officeDocument/2006/relationships/hyperlink" Target="ontariocourts.ca/decisions/2021/2021ONCA0382.htm" TargetMode="External"/><Relationship Id="rId430" Type="http://schemas.openxmlformats.org/officeDocument/2006/relationships/hyperlink" Target="http://www.ontariocourts.ca/decisions/2018/2018ONCA0745.htm" TargetMode="External"/><Relationship Id="rId18" Type="http://schemas.openxmlformats.org/officeDocument/2006/relationships/hyperlink" Target="https://www.ontariocourts.ca/decisions/2021/2021ONCA0337.htm" TargetMode="External"/><Relationship Id="rId265" Type="http://schemas.openxmlformats.org/officeDocument/2006/relationships/hyperlink" Target="https://www.canlii.org/en/on/onca/doc/2017/2017onca562/2017onca562.html?autocompleteStr=2017%20ONCA%20562&amp;autocompletePos=1" TargetMode="External"/><Relationship Id="rId472" Type="http://schemas.openxmlformats.org/officeDocument/2006/relationships/hyperlink" Target="https://www.canlii.org/en/on/onsc/doc/2017/2017onsc4531/2017onsc4531.html" TargetMode="External"/><Relationship Id="rId125" Type="http://schemas.openxmlformats.org/officeDocument/2006/relationships/hyperlink" Target="http://www.ontariocourts.ca/decisions/2016/2016ONCA0057.htm" TargetMode="External"/><Relationship Id="rId167" Type="http://schemas.openxmlformats.org/officeDocument/2006/relationships/hyperlink" Target="http://www.ontariocourts.ca/decisions/2017/2017ONCA0778.htm" TargetMode="External"/><Relationship Id="rId332" Type="http://schemas.openxmlformats.org/officeDocument/2006/relationships/hyperlink" Target="https://scc-csc.lexum.com/scc-csc/scc-csc/en/item/18421/index.do" TargetMode="External"/><Relationship Id="rId374" Type="http://schemas.openxmlformats.org/officeDocument/2006/relationships/hyperlink" Target="http://www.ontariocourts.ca/decisions/2018/2018ONCA0489.htm" TargetMode="External"/><Relationship Id="rId71" Type="http://schemas.openxmlformats.org/officeDocument/2006/relationships/hyperlink" Target="https://www.canlii.org/en/ca/laws/stat/schedule-b-to-the-canada-act-1982-uk-1982-c-11/latest/schedule-b-to-the-canada-act-1982-uk-1982-c-11.html" TargetMode="External"/><Relationship Id="rId234" Type="http://schemas.openxmlformats.org/officeDocument/2006/relationships/hyperlink" Target="http://www.ontariocourts.ca/decisions/2016/2016ONCA0110.htm" TargetMode="External"/><Relationship Id="rId2" Type="http://schemas.openxmlformats.org/officeDocument/2006/relationships/numbering" Target="numbering.xml"/><Relationship Id="rId29" Type="http://schemas.openxmlformats.org/officeDocument/2006/relationships/hyperlink" Target="http://www.ontariocourts.ca/decisions/2018/2018ONCA0184.htm" TargetMode="External"/><Relationship Id="rId276" Type="http://schemas.openxmlformats.org/officeDocument/2006/relationships/hyperlink" Target="http://www.ontariocourts.ca/decisions/2019/2019ONCA0578.htm" TargetMode="External"/><Relationship Id="rId441" Type="http://schemas.openxmlformats.org/officeDocument/2006/relationships/hyperlink" Target="https://www.ontariocourts.ca/decisions/2020/2020ONCA0246.htm" TargetMode="External"/><Relationship Id="rId40" Type="http://schemas.openxmlformats.org/officeDocument/2006/relationships/hyperlink" Target="http://www.ontariocourts.ca/decisions/2017/2017ONCA0736.htm" TargetMode="External"/><Relationship Id="rId136" Type="http://schemas.openxmlformats.org/officeDocument/2006/relationships/hyperlink" Target="http://www.ontariocourts.ca/decisions/2017/2017ONCA0628.htm" TargetMode="External"/><Relationship Id="rId178" Type="http://schemas.openxmlformats.org/officeDocument/2006/relationships/hyperlink" Target="https://www.ontariocourts.ca/decisions/2020/2020ONCA0515.htm" TargetMode="External"/><Relationship Id="rId301" Type="http://schemas.openxmlformats.org/officeDocument/2006/relationships/hyperlink" Target="http://www.ontariocourts.ca/decisions/2017/2017ONCA0179.htm" TargetMode="External"/><Relationship Id="rId343" Type="http://schemas.openxmlformats.org/officeDocument/2006/relationships/hyperlink" Target="http://www.ontariocourts.ca/decisions/2018/2018ONCA0489.htm" TargetMode="External"/><Relationship Id="rId82" Type="http://schemas.openxmlformats.org/officeDocument/2006/relationships/hyperlink" Target="https://scc-csc.lexum.com/scc-csc/scc-csc/en/item/16897/index.do" TargetMode="External"/><Relationship Id="rId203" Type="http://schemas.openxmlformats.org/officeDocument/2006/relationships/hyperlink" Target="http://www.ontariocourts.ca/decisions/2016/2016ONCA0160.htm" TargetMode="External"/><Relationship Id="rId385" Type="http://schemas.openxmlformats.org/officeDocument/2006/relationships/hyperlink" Target="http://www.ontariocourts.ca/decisions/2018/2018ONCA0456.htm" TargetMode="External"/><Relationship Id="rId245" Type="http://schemas.openxmlformats.org/officeDocument/2006/relationships/hyperlink" Target="http://www.ontariocourts.ca/decisions/2018/2018ONCA0975.htm" TargetMode="External"/><Relationship Id="rId287" Type="http://schemas.openxmlformats.org/officeDocument/2006/relationships/hyperlink" Target="http://www.ontariocourts.ca/decisions/2017/2017ONCA0543.htm" TargetMode="External"/><Relationship Id="rId410" Type="http://schemas.openxmlformats.org/officeDocument/2006/relationships/hyperlink" Target="https://www.ontariocourts.ca/decisions/2021/2021ONCA0812.htm" TargetMode="External"/><Relationship Id="rId452" Type="http://schemas.openxmlformats.org/officeDocument/2006/relationships/hyperlink" Target="https://www.ontariocourts.ca/decisions/2020/2020ONCA0009.htm" TargetMode="External"/><Relationship Id="rId105" Type="http://schemas.openxmlformats.org/officeDocument/2006/relationships/hyperlink" Target="http://www.ontariocourts.ca/decisions/2018/2018ONCA0056.htm" TargetMode="External"/><Relationship Id="rId147" Type="http://schemas.openxmlformats.org/officeDocument/2006/relationships/hyperlink" Target="http://www.ontariocourts.ca/decisions/2016/2016ONCA0013.htm" TargetMode="External"/><Relationship Id="rId312" Type="http://schemas.openxmlformats.org/officeDocument/2006/relationships/hyperlink" Target="https://www.ontariocourts.ca/decisions/2020/2020ONCA0047.htm" TargetMode="External"/><Relationship Id="rId354" Type="http://schemas.openxmlformats.org/officeDocument/2006/relationships/hyperlink" Target="https://scc-csc.lexum.com/scc-csc/scc-csc/en/item/18217/index.do" TargetMode="External"/><Relationship Id="rId51" Type="http://schemas.openxmlformats.org/officeDocument/2006/relationships/hyperlink" Target="https://www.ontariocourts.ca/decisions/2021/2021ONCA0180.htm" TargetMode="External"/><Relationship Id="rId93" Type="http://schemas.openxmlformats.org/officeDocument/2006/relationships/hyperlink" Target="https://scc-csc.lexum.com/scc-csc/scc-csc/en/item/16897/index.do" TargetMode="External"/><Relationship Id="rId189" Type="http://schemas.openxmlformats.org/officeDocument/2006/relationships/hyperlink" Target="https://www.ontario.ca/laws/statute/90c11" TargetMode="External"/><Relationship Id="rId396" Type="http://schemas.openxmlformats.org/officeDocument/2006/relationships/hyperlink" Target="https://www.canlii.org/en/ca/scc/doc/2017/2017scc13/2017scc13.html" TargetMode="External"/><Relationship Id="rId3" Type="http://schemas.openxmlformats.org/officeDocument/2006/relationships/styles" Target="styles.xml"/><Relationship Id="rId214" Type="http://schemas.openxmlformats.org/officeDocument/2006/relationships/hyperlink" Target="https://www.ontariocourts.ca/decisions/2021/2021ONCA0200.htm" TargetMode="External"/><Relationship Id="rId235" Type="http://schemas.openxmlformats.org/officeDocument/2006/relationships/hyperlink" Target="http://www.ontariocourts.ca/decisions/2019/2019ONCA0405.htm" TargetMode="External"/><Relationship Id="rId256" Type="http://schemas.openxmlformats.org/officeDocument/2006/relationships/hyperlink" Target="https://scc-csc.lexum.com/scc-csc/scc-csc/en/item/17804/index.do" TargetMode="External"/><Relationship Id="rId277" Type="http://schemas.openxmlformats.org/officeDocument/2006/relationships/hyperlink" Target="http://www.ontariocourts.ca/decisions/2017/2017ONCA0543.htm" TargetMode="External"/><Relationship Id="rId298" Type="http://schemas.openxmlformats.org/officeDocument/2006/relationships/hyperlink" Target="http://www.ontariocourts.ca/decisions/2018/2018ONCA0665.htm" TargetMode="External"/><Relationship Id="rId400" Type="http://schemas.openxmlformats.org/officeDocument/2006/relationships/hyperlink" Target="http://www.ontariocourts.ca/decisions/2018/2018ONCA0674.htm" TargetMode="External"/><Relationship Id="rId421" Type="http://schemas.openxmlformats.org/officeDocument/2006/relationships/hyperlink" Target="http://www.ontariocourts.ca/decisions/2019/2019ONCA0900.htm" TargetMode="External"/><Relationship Id="rId442" Type="http://schemas.openxmlformats.org/officeDocument/2006/relationships/hyperlink" Target="https://www.ontariocourts.ca/decisions/2021/2021ONCA0222.htm" TargetMode="External"/><Relationship Id="rId463" Type="http://schemas.openxmlformats.org/officeDocument/2006/relationships/hyperlink" Target="http://www.ontariocourts.ca/decisions/2017/2017ONCA0543.htm" TargetMode="External"/><Relationship Id="rId116" Type="http://schemas.openxmlformats.org/officeDocument/2006/relationships/hyperlink" Target="http://trk.cp20.com/click/eolaj-8vid1g-5l42aps9/" TargetMode="External"/><Relationship Id="rId137" Type="http://schemas.openxmlformats.org/officeDocument/2006/relationships/hyperlink" Target="http://trk.cp20.com/click/eolaj-8vid1g-5l42aps9/" TargetMode="External"/><Relationship Id="rId158" Type="http://schemas.openxmlformats.org/officeDocument/2006/relationships/hyperlink" Target="http://www.ontariocourts.ca/decisions/2018/2018ONCA0702.htm" TargetMode="External"/><Relationship Id="rId302" Type="http://schemas.openxmlformats.org/officeDocument/2006/relationships/hyperlink" Target="https://scc-csc.lexum.com/scc-csc/scc-csc/en/item/16988/index.do" TargetMode="External"/><Relationship Id="rId323" Type="http://schemas.openxmlformats.org/officeDocument/2006/relationships/hyperlink" Target="https://www.ontariocourts.ca/decisions/2021/2021ONCA0758.htm" TargetMode="External"/><Relationship Id="rId344" Type="http://schemas.openxmlformats.org/officeDocument/2006/relationships/hyperlink" Target="https://www.ontariocourts.ca/decisions/2021/2021ONCA0068.htm" TargetMode="External"/><Relationship Id="rId20" Type="http://schemas.openxmlformats.org/officeDocument/2006/relationships/hyperlink" Target="http://www.ontariocourts.ca/decisions/2016/2016ONCA0615.htm" TargetMode="External"/><Relationship Id="rId41" Type="http://schemas.openxmlformats.org/officeDocument/2006/relationships/hyperlink" Target="https://www.ontariocourts.ca/decisions/2020/2020ONCA0621.htm" TargetMode="External"/><Relationship Id="rId62" Type="http://schemas.openxmlformats.org/officeDocument/2006/relationships/hyperlink" Target="https://www.ontariocourts.ca/decisions/2021/2021ONCA0373.htm" TargetMode="External"/><Relationship Id="rId83" Type="http://schemas.openxmlformats.org/officeDocument/2006/relationships/hyperlink" Target="http://www.ontariocourts.ca/decisions/2019/2019ONCA0557.htm" TargetMode="External"/><Relationship Id="rId179" Type="http://schemas.openxmlformats.org/officeDocument/2006/relationships/hyperlink" Target="https://www.ontariocourts.ca/decisions/2020/2020ONCA0678.htm" TargetMode="External"/><Relationship Id="rId365" Type="http://schemas.openxmlformats.org/officeDocument/2006/relationships/hyperlink" Target="http://www.ontariocourts.ca/decisions/2019/2019ONCA0111.htm" TargetMode="External"/><Relationship Id="rId386" Type="http://schemas.openxmlformats.org/officeDocument/2006/relationships/hyperlink" Target="http://www.ontariocourts.ca/decisions/2018/2018ONCA0541.htm" TargetMode="External"/><Relationship Id="rId190" Type="http://schemas.openxmlformats.org/officeDocument/2006/relationships/hyperlink" Target="https://www.ontario.ca/laws/statute/90c11" TargetMode="External"/><Relationship Id="rId204" Type="http://schemas.openxmlformats.org/officeDocument/2006/relationships/hyperlink" Target="https://scc-csc.lexum.com/scc-csc/scc-csc/en/item/16897/index.do" TargetMode="External"/><Relationship Id="rId225" Type="http://schemas.openxmlformats.org/officeDocument/2006/relationships/hyperlink" Target="ontariocourts.ca/decisions/2021/2021ONCA0382.htm" TargetMode="External"/><Relationship Id="rId246" Type="http://schemas.openxmlformats.org/officeDocument/2006/relationships/hyperlink" Target="https://scc-csc.lexum.com/scc-csc/scc-csc/en/item/17801/index.do" TargetMode="External"/><Relationship Id="rId267" Type="http://schemas.openxmlformats.org/officeDocument/2006/relationships/hyperlink" Target="ontariocourts.ca/decisions/2021/2021ONCA0382.htm" TargetMode="External"/><Relationship Id="rId288" Type="http://schemas.openxmlformats.org/officeDocument/2006/relationships/hyperlink" Target="http://www.ontariocourts.ca/decisions/2018/2018ONCA0912.htm" TargetMode="External"/><Relationship Id="rId411" Type="http://schemas.openxmlformats.org/officeDocument/2006/relationships/hyperlink" Target="https://www.ontariocourts.ca/decisions/2021/2021ONCA0812.htm" TargetMode="External"/><Relationship Id="rId432" Type="http://schemas.openxmlformats.org/officeDocument/2006/relationships/hyperlink" Target="http://www.ontariocourts.ca/decisions/2018/2018ONCA0375.htm" TargetMode="External"/><Relationship Id="rId453" Type="http://schemas.openxmlformats.org/officeDocument/2006/relationships/hyperlink" Target="http://www.ontariocourts.ca/decisions/2017/2017ONCA0290.htm" TargetMode="External"/><Relationship Id="rId474" Type="http://schemas.openxmlformats.org/officeDocument/2006/relationships/hyperlink" Target="http://www.ontariocourts.ca/decisions/2018/2018ONCA0436.htm" TargetMode="External"/><Relationship Id="rId106" Type="http://schemas.openxmlformats.org/officeDocument/2006/relationships/hyperlink" Target="http://www.ontariocourts.ca/decisions/2018/2018ONCA0912.htm" TargetMode="External"/><Relationship Id="rId127" Type="http://schemas.openxmlformats.org/officeDocument/2006/relationships/hyperlink" Target="http://www.ontariocourts.ca/decisions/2017/2017ONCA0491.htm" TargetMode="External"/><Relationship Id="rId313" Type="http://schemas.openxmlformats.org/officeDocument/2006/relationships/hyperlink" Target="https://www.ontariocourts.ca/decisions/2020/2020ONCA0047.htm" TargetMode="External"/><Relationship Id="rId10" Type="http://schemas.openxmlformats.org/officeDocument/2006/relationships/hyperlink" Target="https://qweri.lexum.com/calegis/schedule-b-to-the-canada-act-1982-uk-1982-c-11-en" TargetMode="External"/><Relationship Id="rId31" Type="http://schemas.openxmlformats.org/officeDocument/2006/relationships/hyperlink" Target="https://www.ontariocourts.ca/decisions/2020/2020ONCA0770.htm" TargetMode="External"/><Relationship Id="rId52" Type="http://schemas.openxmlformats.org/officeDocument/2006/relationships/hyperlink" Target="http://www.ontariocourts.ca/decisions/2017/2017ONCA0724.htm" TargetMode="External"/><Relationship Id="rId73" Type="http://schemas.openxmlformats.org/officeDocument/2006/relationships/hyperlink" Target="https://www.canlii.org/en/ca/scc/doc/2002/2002scc10/2002scc10.html" TargetMode="External"/><Relationship Id="rId94" Type="http://schemas.openxmlformats.org/officeDocument/2006/relationships/hyperlink" Target="https://scc-csc.lexum.com/scc-csc/scc-csc/en/item/17683/index.do" TargetMode="External"/><Relationship Id="rId148" Type="http://schemas.openxmlformats.org/officeDocument/2006/relationships/hyperlink" Target="https://www.ontariocourts.ca/decisions/2021/2021ONCA0730.htm" TargetMode="External"/><Relationship Id="rId169" Type="http://schemas.openxmlformats.org/officeDocument/2006/relationships/hyperlink" Target="https://www.canlii.org/en/on/onca/doc/2019/2019onca914/2019onca914.html" TargetMode="External"/><Relationship Id="rId334" Type="http://schemas.openxmlformats.org/officeDocument/2006/relationships/hyperlink" Target="http://www.ontariocourts.ca/decisions/2018/2018ONCA0312.htm" TargetMode="External"/><Relationship Id="rId355" Type="http://schemas.openxmlformats.org/officeDocument/2006/relationships/hyperlink" Target="http://www.ontariocourts.ca/decisions/2019/2019ONCA0726.htm" TargetMode="External"/><Relationship Id="rId376" Type="http://schemas.openxmlformats.org/officeDocument/2006/relationships/hyperlink" Target="http://www.ontariocourts.ca/decisions/2018/2018ONCA0096.htm" TargetMode="External"/><Relationship Id="rId397" Type="http://schemas.openxmlformats.org/officeDocument/2006/relationships/hyperlink" Target="https://www.canlii.org/en/ca/scc/doc/2017/2017scc14/2017scc14.html" TargetMode="External"/><Relationship Id="rId4" Type="http://schemas.openxmlformats.org/officeDocument/2006/relationships/settings" Target="settings.xml"/><Relationship Id="rId180" Type="http://schemas.openxmlformats.org/officeDocument/2006/relationships/hyperlink" Target="http://www.ontariocourts.ca/decisions/2017/2017ONCA0257.htm" TargetMode="External"/><Relationship Id="rId215" Type="http://schemas.openxmlformats.org/officeDocument/2006/relationships/hyperlink" Target="http://www.ontariocourts.ca/decisions/2015/2015ONCA0260.htm" TargetMode="External"/><Relationship Id="rId236" Type="http://schemas.openxmlformats.org/officeDocument/2006/relationships/hyperlink" Target="https://www.canlii.org/en/on/onsc/doc/2008/2008canlii48640/2008canlii48640.html?resultIndex=1" TargetMode="External"/><Relationship Id="rId257" Type="http://schemas.openxmlformats.org/officeDocument/2006/relationships/hyperlink" Target="https://www.ontariocourts.ca/decisions/2020/2020ONCA0264.htm" TargetMode="External"/><Relationship Id="rId278" Type="http://schemas.openxmlformats.org/officeDocument/2006/relationships/hyperlink" Target="https://legalaid.us15.list-manage.com/track/click?u=1049c6684e6addce5c2c83de0&amp;id=ce4bb6eb04&amp;e=e76cdf9c29" TargetMode="External"/><Relationship Id="rId401" Type="http://schemas.openxmlformats.org/officeDocument/2006/relationships/hyperlink" Target="https://scc-csc.lexum.com/scc-csc/scc-csc/en/item/17964/index.do" TargetMode="External"/><Relationship Id="rId422" Type="http://schemas.openxmlformats.org/officeDocument/2006/relationships/hyperlink" Target="https://www.ontariocourts.ca/decisions/2020/2020ONCA0361.htm" TargetMode="External"/><Relationship Id="rId443" Type="http://schemas.openxmlformats.org/officeDocument/2006/relationships/hyperlink" Target="http://www.ontariocourts.ca/decisions/2018/2018ONCA0375.htm" TargetMode="External"/><Relationship Id="rId464" Type="http://schemas.openxmlformats.org/officeDocument/2006/relationships/hyperlink" Target="https://www.ontariocourts.ca/decisions/2020/2020ONCA0246.htm" TargetMode="External"/><Relationship Id="rId303" Type="http://schemas.openxmlformats.org/officeDocument/2006/relationships/hyperlink" Target="https://scc-csc.lexum.com/scc-csc/scc-csc/en/item/16988/index.do" TargetMode="External"/><Relationship Id="rId42" Type="http://schemas.openxmlformats.org/officeDocument/2006/relationships/hyperlink" Target="http://www.ontariocourts.ca/decisions/2017/2017ONCA0736.htm" TargetMode="External"/><Relationship Id="rId84" Type="http://schemas.openxmlformats.org/officeDocument/2006/relationships/hyperlink" Target="http://www.ontariocourts.ca/decisions/2018/2018ONCA0056.htm" TargetMode="External"/><Relationship Id="rId138" Type="http://schemas.openxmlformats.org/officeDocument/2006/relationships/hyperlink" Target="http://www.ontariocourts.ca/decisions/2017/2017ONCA0087.htm" TargetMode="External"/><Relationship Id="rId345" Type="http://schemas.openxmlformats.org/officeDocument/2006/relationships/hyperlink" Target="https://www.ontariocourts.ca/decisions/2021/2021ONCA0068.htm" TargetMode="External"/><Relationship Id="rId387" Type="http://schemas.openxmlformats.org/officeDocument/2006/relationships/hyperlink" Target="https://qweri.lexum.com/calegis/schedule-b-to-the-canada-act-1982-uk-1982-c-11-en" TargetMode="External"/><Relationship Id="rId191" Type="http://schemas.openxmlformats.org/officeDocument/2006/relationships/hyperlink" Target="https://www.ontario.ca/laws/statute/90c11" TargetMode="External"/><Relationship Id="rId205" Type="http://schemas.openxmlformats.org/officeDocument/2006/relationships/hyperlink" Target="https://www.ontariocourts.ca/decisions/2020/2020ONCA0025.htm" TargetMode="External"/><Relationship Id="rId247" Type="http://schemas.openxmlformats.org/officeDocument/2006/relationships/hyperlink" Target="http://www.ontariocourts.ca/decisions/2018/2018ONCA0114.htm" TargetMode="External"/><Relationship Id="rId412" Type="http://schemas.openxmlformats.org/officeDocument/2006/relationships/hyperlink" Target="http://www.ontariocourts.ca/decisions/2018/2018ONCA0411.htm" TargetMode="External"/><Relationship Id="rId107" Type="http://schemas.openxmlformats.org/officeDocument/2006/relationships/hyperlink" Target="http://www.ontariocourts.ca/decisions/2016/2016ONCA0057.htm" TargetMode="External"/><Relationship Id="rId289" Type="http://schemas.openxmlformats.org/officeDocument/2006/relationships/hyperlink" Target="http://www.ontariocourts.ca/decisions/2018/2018ONCA0411.htm" TargetMode="External"/><Relationship Id="rId454" Type="http://schemas.openxmlformats.org/officeDocument/2006/relationships/hyperlink" Target="http://www.ontariocourts.ca/decisions/2017/2017ONCA0543.htm" TargetMode="External"/><Relationship Id="rId11" Type="http://schemas.openxmlformats.org/officeDocument/2006/relationships/hyperlink" Target="https://scc-csc.lexum.com/scc-csc/scc-csc/en/item/17964/index.do" TargetMode="External"/><Relationship Id="rId53" Type="http://schemas.openxmlformats.org/officeDocument/2006/relationships/hyperlink" Target="http://www.ontariocourts.ca/decisions/2019/2019ONCA0392.htm" TargetMode="External"/><Relationship Id="rId149" Type="http://schemas.openxmlformats.org/officeDocument/2006/relationships/hyperlink" Target="http://www.ontariocourts.ca/decisions/2015/2015ONCA0260.htm" TargetMode="External"/><Relationship Id="rId314" Type="http://schemas.openxmlformats.org/officeDocument/2006/relationships/hyperlink" Target="http://www.ontariocourts.ca/decisions/2018/2018ONCA0942.htm" TargetMode="External"/><Relationship Id="rId356" Type="http://schemas.openxmlformats.org/officeDocument/2006/relationships/hyperlink" Target="http://www.ontariocourts.ca/decisions/2019/2019ONCA0726.htm" TargetMode="External"/><Relationship Id="rId398" Type="http://schemas.openxmlformats.org/officeDocument/2006/relationships/hyperlink" Target="http://www.ontariocourts.ca/decisions/2018/2018ONCA0674.htm" TargetMode="External"/><Relationship Id="rId95" Type="http://schemas.openxmlformats.org/officeDocument/2006/relationships/hyperlink" Target="http://www.ontariocourts.ca/decisions/2017/2017ONCA0778.htm" TargetMode="External"/><Relationship Id="rId160" Type="http://schemas.openxmlformats.org/officeDocument/2006/relationships/hyperlink" Target="http://www.ontariocourts.ca/decisions/2016/2016ONCA0144.htm" TargetMode="External"/><Relationship Id="rId216" Type="http://schemas.openxmlformats.org/officeDocument/2006/relationships/hyperlink" Target="https://scc-csc.lexum.com/scc-csc/scc-csc/en/item/12936/index.do" TargetMode="External"/><Relationship Id="rId423" Type="http://schemas.openxmlformats.org/officeDocument/2006/relationships/hyperlink" Target="http://www.ontariocourts.ca/decisions/2017/2017ONCA0543.htm" TargetMode="External"/><Relationship Id="rId258" Type="http://schemas.openxmlformats.org/officeDocument/2006/relationships/hyperlink" Target="https://www.ontariocourts.ca/decisions/2021/2021ONCA0805.htm" TargetMode="External"/><Relationship Id="rId465" Type="http://schemas.openxmlformats.org/officeDocument/2006/relationships/hyperlink" Target="https://www.ontariocourts.ca/decisions/2019/2019ONCA0665.htm" TargetMode="External"/><Relationship Id="rId22" Type="http://schemas.openxmlformats.org/officeDocument/2006/relationships/hyperlink" Target="https://www.ontariocourts.ca/decisions/2020/2020ONCA0160.htm" TargetMode="External"/><Relationship Id="rId64" Type="http://schemas.openxmlformats.org/officeDocument/2006/relationships/hyperlink" Target="https://www.canlii.org/en/on/onca/doc/2016/2016onca988/2016onca988.html" TargetMode="External"/><Relationship Id="rId118" Type="http://schemas.openxmlformats.org/officeDocument/2006/relationships/hyperlink" Target="https://www.ontariocourts.ca/decisions/2019/2019ONCA0288.htm" TargetMode="External"/><Relationship Id="rId325" Type="http://schemas.openxmlformats.org/officeDocument/2006/relationships/hyperlink" Target="https://www.ontariocourts.ca/decisions/2021/2021ONCA0758.htm" TargetMode="External"/><Relationship Id="rId367" Type="http://schemas.openxmlformats.org/officeDocument/2006/relationships/hyperlink" Target="https://scc-csc.lexum.com/scc-csc/scc-csc/en/item/18035/index.do" TargetMode="External"/><Relationship Id="rId171" Type="http://schemas.openxmlformats.org/officeDocument/2006/relationships/hyperlink" Target="http://www.ontariocourts.ca/decisions/2017/2017ONCA0290.htm" TargetMode="External"/><Relationship Id="rId227" Type="http://schemas.openxmlformats.org/officeDocument/2006/relationships/hyperlink" Target="https://www.canlii.org/en/on/onca/doc/2016/2016onca988/2016onca988.html" TargetMode="External"/><Relationship Id="rId269" Type="http://schemas.openxmlformats.org/officeDocument/2006/relationships/hyperlink" Target="https://www.ontariocourts.ca/decisions/2021/2021ONCA0382.htm" TargetMode="External"/><Relationship Id="rId434" Type="http://schemas.openxmlformats.org/officeDocument/2006/relationships/hyperlink" Target="http://www.ontariocourts.ca/decisions/2017/2017ONCA0290.htm" TargetMode="External"/><Relationship Id="rId476" Type="http://schemas.openxmlformats.org/officeDocument/2006/relationships/hyperlink" Target="https://www.canlii.org/en/bc/bcsc/doc/2018/2018bcsc62/2018bcsc62.pdf" TargetMode="External"/><Relationship Id="rId33" Type="http://schemas.openxmlformats.org/officeDocument/2006/relationships/hyperlink" Target="http://www.ontariocourts.ca/decisions/2018/2018ONCA0515.htm" TargetMode="External"/><Relationship Id="rId129" Type="http://schemas.openxmlformats.org/officeDocument/2006/relationships/hyperlink" Target="http://www.ontariocourts.ca/decisions/2017/2017ONCA0023.htm" TargetMode="External"/><Relationship Id="rId280" Type="http://schemas.openxmlformats.org/officeDocument/2006/relationships/hyperlink" Target="http://www.ontariocourts.ca/decisions/2017/2017ONCA0287.htm" TargetMode="External"/><Relationship Id="rId336" Type="http://schemas.openxmlformats.org/officeDocument/2006/relationships/hyperlink" Target="https://www.ontariocourts.ca/decisions/2021/2021ONCA0256.htm" TargetMode="External"/><Relationship Id="rId75" Type="http://schemas.openxmlformats.org/officeDocument/2006/relationships/hyperlink" Target="http://www.ontariocourts.ca/decisions/2017/2017ONCA0635.htm" TargetMode="External"/><Relationship Id="rId140" Type="http://schemas.openxmlformats.org/officeDocument/2006/relationships/hyperlink" Target="http://www.ontariocourts.ca/decisions/2018/2018ONCA0110.htm" TargetMode="External"/><Relationship Id="rId182" Type="http://schemas.openxmlformats.org/officeDocument/2006/relationships/hyperlink" Target="http://www.ontariocourts.ca/decisions/2016/2016ONCA0046.htm" TargetMode="External"/><Relationship Id="rId378" Type="http://schemas.openxmlformats.org/officeDocument/2006/relationships/hyperlink" Target="http://www.ontariocourts.ca/decisions/2017/2017ONCA0772.htm" TargetMode="External"/><Relationship Id="rId403" Type="http://schemas.openxmlformats.org/officeDocument/2006/relationships/hyperlink" Target="http://www.ontariocourts.ca/decisions/2018/2018ONCA0436.htm" TargetMode="External"/><Relationship Id="rId6" Type="http://schemas.openxmlformats.org/officeDocument/2006/relationships/footnotes" Target="footnotes.xml"/><Relationship Id="rId238" Type="http://schemas.openxmlformats.org/officeDocument/2006/relationships/hyperlink" Target="https://www.ontariocourts.ca/decisions/2021/2021ONCA0791.htm" TargetMode="External"/><Relationship Id="rId445" Type="http://schemas.openxmlformats.org/officeDocument/2006/relationships/hyperlink" Target="https://www.canlii.org/en/ca/scc/doc/2017/2017scc60/2017scc60.html" TargetMode="External"/><Relationship Id="rId291" Type="http://schemas.openxmlformats.org/officeDocument/2006/relationships/hyperlink" Target="http://www.ontariocourts.ca/decisions/2018/2018ONCA0665.htm" TargetMode="External"/><Relationship Id="rId305" Type="http://schemas.openxmlformats.org/officeDocument/2006/relationships/hyperlink" Target="http://www.ontariocourts.ca/decisions/2018/2018ONCA0830.htm" TargetMode="External"/><Relationship Id="rId347" Type="http://schemas.openxmlformats.org/officeDocument/2006/relationships/hyperlink" Target="http://www.ontariocourts.ca/decisions/2018/2018ONCA0489.htm" TargetMode="External"/><Relationship Id="rId44" Type="http://schemas.openxmlformats.org/officeDocument/2006/relationships/hyperlink" Target="http://www.ontariocourts.ca/decisions/2018/2018ONCA1081.htm" TargetMode="External"/><Relationship Id="rId86" Type="http://schemas.openxmlformats.org/officeDocument/2006/relationships/hyperlink" Target="https://scc-csc.lexum.com/scc-csc/scc-csc/en/item/17804/index.do" TargetMode="External"/><Relationship Id="rId151" Type="http://schemas.openxmlformats.org/officeDocument/2006/relationships/hyperlink" Target="http://www.ontariocourts.ca/decisions/2015/2015ONCA0619.htm" TargetMode="External"/><Relationship Id="rId389" Type="http://schemas.openxmlformats.org/officeDocument/2006/relationships/hyperlink" Target="https://www.canlii.org/en/ca/laws/stat/rsc-1985-c-c-46/latest/rsc-1985-c-c-46.html" TargetMode="External"/><Relationship Id="rId193" Type="http://schemas.openxmlformats.org/officeDocument/2006/relationships/hyperlink" Target="http://www.ontariocourts.ca/decisions/2017/2017ONCA0257.htm" TargetMode="External"/><Relationship Id="rId207" Type="http://schemas.openxmlformats.org/officeDocument/2006/relationships/hyperlink" Target="https://scc-csc.lexum.com/scc-csc/scc-csc/en/item/16897/index.do" TargetMode="External"/><Relationship Id="rId249" Type="http://schemas.openxmlformats.org/officeDocument/2006/relationships/hyperlink" Target="http://www.ontariocourts.ca/decisions/2018/2018ONCA0114.htm" TargetMode="External"/><Relationship Id="rId414" Type="http://schemas.openxmlformats.org/officeDocument/2006/relationships/hyperlink" Target="http://www.ontariocourts.ca/decisions/2016/2016ONCA0252.htm" TargetMode="External"/><Relationship Id="rId456" Type="http://schemas.openxmlformats.org/officeDocument/2006/relationships/hyperlink" Target="https://www.ontariocourts.ca/decisions/2021/2021ONCA0103.htm" TargetMode="External"/><Relationship Id="rId13" Type="http://schemas.openxmlformats.org/officeDocument/2006/relationships/hyperlink" Target="http://www.ontariocourts.ca/decisions/2019/2019ONCA0405.htm" TargetMode="External"/><Relationship Id="rId109" Type="http://schemas.openxmlformats.org/officeDocument/2006/relationships/hyperlink" Target="http://laws-lois.justice.gc.ca/eng/acts/C-46/page-109.html" TargetMode="External"/><Relationship Id="rId260" Type="http://schemas.openxmlformats.org/officeDocument/2006/relationships/hyperlink" Target="http://www.ontariocourts.ca/decisions/2018/2018ONCA0114.htm" TargetMode="External"/><Relationship Id="rId316" Type="http://schemas.openxmlformats.org/officeDocument/2006/relationships/hyperlink" Target="https://www.ontariocourts.ca/decisions/2019/2019ONCA0765.htm" TargetMode="External"/><Relationship Id="rId55" Type="http://schemas.openxmlformats.org/officeDocument/2006/relationships/hyperlink" Target="https://www.ontariocourts.ca/decisions/2020/2020ONCA0160.htm" TargetMode="External"/><Relationship Id="rId97" Type="http://schemas.openxmlformats.org/officeDocument/2006/relationships/hyperlink" Target="http://www.ontariocourts.ca/decisions/2017/2017ONCA0620.htm" TargetMode="External"/><Relationship Id="rId120" Type="http://schemas.openxmlformats.org/officeDocument/2006/relationships/hyperlink" Target="https://www.ontariocourts.ca/decisions/2021/2021ONCA0411.htm" TargetMode="External"/><Relationship Id="rId358" Type="http://schemas.openxmlformats.org/officeDocument/2006/relationships/hyperlink" Target="http://www.ontariocourts.ca/decisions/2019/2019ONCA0726.htm" TargetMode="External"/><Relationship Id="rId162" Type="http://schemas.openxmlformats.org/officeDocument/2006/relationships/hyperlink" Target="https://www.ontariocourts.ca/decisions/2020/2020ONCA0678.htm" TargetMode="External"/><Relationship Id="rId218" Type="http://schemas.openxmlformats.org/officeDocument/2006/relationships/hyperlink" Target="http://laws-lois.justice.gc.ca/eng/acts/C-46/page-42.html" TargetMode="External"/><Relationship Id="rId425" Type="http://schemas.openxmlformats.org/officeDocument/2006/relationships/hyperlink" Target="http://www.ontariocourts.ca/decisions/2018/2018ONCA0975.htm" TargetMode="External"/><Relationship Id="rId467" Type="http://schemas.openxmlformats.org/officeDocument/2006/relationships/hyperlink" Target="https://www.ontariocourts.ca/decisions/2021/2021ONCA0303.htm" TargetMode="External"/><Relationship Id="rId271" Type="http://schemas.openxmlformats.org/officeDocument/2006/relationships/hyperlink" Target="https://www.ontariocourts.ca/decisions/2021/2021ONCA0382.htm" TargetMode="External"/><Relationship Id="rId24" Type="http://schemas.openxmlformats.org/officeDocument/2006/relationships/hyperlink" Target="https://www.ontariocourts.ca/decisions/2020/2020ONCA0290.htm" TargetMode="External"/><Relationship Id="rId66" Type="http://schemas.openxmlformats.org/officeDocument/2006/relationships/hyperlink" Target="https://legalaid.us15.list-manage.com/track/click?u=1049c6684e6addce5c2c83de0&amp;id=2fcb95be33&amp;e=e76cdf9c29" TargetMode="External"/><Relationship Id="rId131" Type="http://schemas.openxmlformats.org/officeDocument/2006/relationships/hyperlink" Target="http://www.ontariocourts.ca/decisions/2016/2016ONCA0057.htm" TargetMode="External"/><Relationship Id="rId327" Type="http://schemas.openxmlformats.org/officeDocument/2006/relationships/hyperlink" Target="https://www.ontariocourts.ca/decisions/2021/2021ONCA0068.htm" TargetMode="External"/><Relationship Id="rId369" Type="http://schemas.openxmlformats.org/officeDocument/2006/relationships/hyperlink" Target="http://www.ontariocourts.ca/decisions/2018/2018ONCA0489.htm" TargetMode="External"/><Relationship Id="rId173" Type="http://schemas.openxmlformats.org/officeDocument/2006/relationships/hyperlink" Target="https://scc-csc.lexum.com/scc-csc/scc-csc/en/item/14502/index.do" TargetMode="External"/><Relationship Id="rId229" Type="http://schemas.openxmlformats.org/officeDocument/2006/relationships/hyperlink" Target="https://www.ontariocourts.ca/decisions/2019/2019ONCA0665.htm" TargetMode="External"/><Relationship Id="rId380" Type="http://schemas.openxmlformats.org/officeDocument/2006/relationships/hyperlink" Target="http://www.ontariocourts.ca/decisions/2018/2018ONCA0986.htm" TargetMode="External"/><Relationship Id="rId436" Type="http://schemas.openxmlformats.org/officeDocument/2006/relationships/hyperlink" Target="http://www.ontariocourts.ca/decisions/2018/2018ONCA0695.htm" TargetMode="External"/><Relationship Id="rId240" Type="http://schemas.openxmlformats.org/officeDocument/2006/relationships/hyperlink" Target="http://www.ontariocourts.ca/decisions/2016/2016ONCA0141.htm" TargetMode="External"/><Relationship Id="rId478" Type="http://schemas.openxmlformats.org/officeDocument/2006/relationships/hyperlink" Target="https://legalaid.us15.list-manage.com/track/click?u=1049c6684e6addce5c2c83de0&amp;id=26febb8e58&amp;e=e76cdf9c29" TargetMode="External"/><Relationship Id="rId35" Type="http://schemas.openxmlformats.org/officeDocument/2006/relationships/hyperlink" Target="http://www.ontariocourts.ca/decisions/2018/2018ONCA1012.htm" TargetMode="External"/><Relationship Id="rId77" Type="http://schemas.openxmlformats.org/officeDocument/2006/relationships/hyperlink" Target="http://www.ontariocourts.ca/decisions/2018/2018ONCA0115.htm" TargetMode="External"/><Relationship Id="rId100" Type="http://schemas.openxmlformats.org/officeDocument/2006/relationships/hyperlink" Target="http://www.ontariocourts.ca/decisions/2019/2019ONCA0068.htm" TargetMode="External"/><Relationship Id="rId282" Type="http://schemas.openxmlformats.org/officeDocument/2006/relationships/hyperlink" Target="https://www.ontariocourts.ca/decisions/2021/2021ONCA0791.htm" TargetMode="External"/><Relationship Id="rId338" Type="http://schemas.openxmlformats.org/officeDocument/2006/relationships/hyperlink" Target="https://www.ontariocourts.ca/decisions/2020/2020ONCA0755.htm" TargetMode="External"/><Relationship Id="rId8" Type="http://schemas.openxmlformats.org/officeDocument/2006/relationships/hyperlink" Target="https://qweri.lexum.com/calegis/schedule-b-to-the-canada-act-1982-uk-1982-c-11-en" TargetMode="External"/><Relationship Id="rId142" Type="http://schemas.openxmlformats.org/officeDocument/2006/relationships/hyperlink" Target="http://www.ontariocourts.ca/decisions/2018/2018ONCA0927.htm" TargetMode="External"/><Relationship Id="rId184" Type="http://schemas.openxmlformats.org/officeDocument/2006/relationships/hyperlink" Target="https://www.ontariocourts.ca/decisions/2020/2020ONCA0750.htm" TargetMode="External"/><Relationship Id="rId391" Type="http://schemas.openxmlformats.org/officeDocument/2006/relationships/hyperlink" Target="https://www.canlii.org/en/on/onca/doc/2016/2016onca988/2016onca988.html" TargetMode="External"/><Relationship Id="rId405" Type="http://schemas.openxmlformats.org/officeDocument/2006/relationships/hyperlink" Target="http://www.ontariocourts.ca/decisions/2019/2019ONCA0646.htm" TargetMode="External"/><Relationship Id="rId447" Type="http://schemas.openxmlformats.org/officeDocument/2006/relationships/hyperlink" Target="http://www.ontariocourts.ca/decisions/2018/2018ONCA0745.htm" TargetMode="External"/><Relationship Id="rId251" Type="http://schemas.openxmlformats.org/officeDocument/2006/relationships/hyperlink" Target="http://www.ontariocourts.ca/decisions/2018/2018ONCA0556.htm" TargetMode="External"/><Relationship Id="rId46" Type="http://schemas.openxmlformats.org/officeDocument/2006/relationships/hyperlink" Target="https://www.ontariocourts.ca/decisions/2020/2020ONCA0287.htm" TargetMode="External"/><Relationship Id="rId293" Type="http://schemas.openxmlformats.org/officeDocument/2006/relationships/hyperlink" Target="https://www.ontariocourts.ca/decisions/2021/2021ONCA0081.htm" TargetMode="External"/><Relationship Id="rId307" Type="http://schemas.openxmlformats.org/officeDocument/2006/relationships/hyperlink" Target="http://www.ontariocourts.ca/decisions/2018/2018ONCA0745.htm" TargetMode="External"/><Relationship Id="rId349" Type="http://schemas.openxmlformats.org/officeDocument/2006/relationships/hyperlink" Target="http://www.ontariocourts.ca/decisions/2018/2018ONCA0489.htm" TargetMode="External"/><Relationship Id="rId88" Type="http://schemas.openxmlformats.org/officeDocument/2006/relationships/hyperlink" Target="http://www.ontariocourts.ca/decisions/2017/2017ONCA0649.htm" TargetMode="External"/><Relationship Id="rId111" Type="http://schemas.openxmlformats.org/officeDocument/2006/relationships/hyperlink" Target="https://www.ontariocourts.ca/decisions/2020/2020ONCA0466.htm" TargetMode="External"/><Relationship Id="rId153" Type="http://schemas.openxmlformats.org/officeDocument/2006/relationships/hyperlink" Target="http://www.ontariocourts.ca/decisions/2016/2016ONCA0160.htm" TargetMode="External"/><Relationship Id="rId195" Type="http://schemas.openxmlformats.org/officeDocument/2006/relationships/hyperlink" Target="http://www.ontariocourts.ca/decisions/2017/2017ONCA0257.htm" TargetMode="External"/><Relationship Id="rId209" Type="http://schemas.openxmlformats.org/officeDocument/2006/relationships/hyperlink" Target="http://www.ontariocourts.ca/decisions/2016/2016ONCA0543.htm" TargetMode="External"/><Relationship Id="rId360" Type="http://schemas.openxmlformats.org/officeDocument/2006/relationships/hyperlink" Target="https://www.ontariocourts.ca/decisions/2020/2020ONCA0243.htm" TargetMode="External"/><Relationship Id="rId416" Type="http://schemas.openxmlformats.org/officeDocument/2006/relationships/hyperlink" Target="https://www.ontariocourts.ca/decisions/2021/2021ONCA0179.htm" TargetMode="External"/><Relationship Id="rId220" Type="http://schemas.openxmlformats.org/officeDocument/2006/relationships/hyperlink" Target="http://www.ontariocourts.ca/decisions/2019/2019ONCA0068.htm" TargetMode="External"/><Relationship Id="rId458" Type="http://schemas.openxmlformats.org/officeDocument/2006/relationships/hyperlink" Target="http://www.ontariocourts.ca/decisions/2018/2018ONCA0927.htm" TargetMode="External"/><Relationship Id="rId15" Type="http://schemas.openxmlformats.org/officeDocument/2006/relationships/hyperlink" Target="https://www.ontariocourts.ca/decisions/2020/2020ONCA0795.htm" TargetMode="External"/><Relationship Id="rId57" Type="http://schemas.openxmlformats.org/officeDocument/2006/relationships/hyperlink" Target="https://www.ontariocourts.ca/decisions/2020/2020ONCA0290.htm" TargetMode="External"/><Relationship Id="rId262" Type="http://schemas.openxmlformats.org/officeDocument/2006/relationships/hyperlink" Target="http://www.ontariocourts.ca/decisions/2016/2016ONCA0031.htm" TargetMode="External"/><Relationship Id="rId318" Type="http://schemas.openxmlformats.org/officeDocument/2006/relationships/hyperlink" Target="http://www.ontariocourts.ca/decisions/2017/2017ONCA0179.htm" TargetMode="External"/><Relationship Id="rId99" Type="http://schemas.openxmlformats.org/officeDocument/2006/relationships/hyperlink" Target="http://www.ontariocourts.ca/decisions/2018/2018ONCA0056.htm" TargetMode="External"/><Relationship Id="rId122" Type="http://schemas.openxmlformats.org/officeDocument/2006/relationships/hyperlink" Target="https://www.ontariocourts.ca/decisions/2021/2021ONCA0897.htm" TargetMode="External"/><Relationship Id="rId164" Type="http://schemas.openxmlformats.org/officeDocument/2006/relationships/hyperlink" Target="Valid%20police%20purposes%20associated%20with%20searches%20incidental%20to%20arrest%20include%20police%20safety,%20public%20safety,%20securing%20evidence,%20and%20discovering%20evidence" TargetMode="External"/><Relationship Id="rId371" Type="http://schemas.openxmlformats.org/officeDocument/2006/relationships/hyperlink" Target="https://www.ontariocourts.ca/decisions/2019/2019ONCA0600.htm" TargetMode="External"/><Relationship Id="rId427" Type="http://schemas.openxmlformats.org/officeDocument/2006/relationships/hyperlink" Target="http://www.ontariocourts.ca/decisions/2018/2018ONCA0959.htm" TargetMode="External"/><Relationship Id="rId469" Type="http://schemas.openxmlformats.org/officeDocument/2006/relationships/hyperlink" Target="https://poseidon01.ssrn.com/delivery.php?ID=288029089119125071069078025012024091103043056088031004087020082093070118089004105068017098101006051012034021073005112069017011122090028033029002092127015101074125081064019002103113004107021101077085126099080066093097099085067095091107096003031114096&amp;EXT=pdf" TargetMode="External"/><Relationship Id="rId26" Type="http://schemas.openxmlformats.org/officeDocument/2006/relationships/hyperlink" Target="http://www.ontariocourts.ca/decisions/2018/2018ONCA0039.htm" TargetMode="External"/><Relationship Id="rId231" Type="http://schemas.openxmlformats.org/officeDocument/2006/relationships/hyperlink" Target="http://www.ontariocourts.ca/decisions/2019/2019ONCA0405.htm" TargetMode="External"/><Relationship Id="rId273" Type="http://schemas.openxmlformats.org/officeDocument/2006/relationships/hyperlink" Target="https://www.ontario.ca/laws/statute/90h08" TargetMode="External"/><Relationship Id="rId329" Type="http://schemas.openxmlformats.org/officeDocument/2006/relationships/hyperlink" Target="http://www.ontariocourts.ca/decisions/2019/2019ONCA0600.htm" TargetMode="External"/><Relationship Id="rId480" Type="http://schemas.openxmlformats.org/officeDocument/2006/relationships/footer" Target="footer2.xml"/><Relationship Id="rId68" Type="http://schemas.openxmlformats.org/officeDocument/2006/relationships/hyperlink" Target="https://www.canlii.org/en/bc/bcsc/doc/2018/2018bcsc62/2018bcsc62.pdf" TargetMode="External"/><Relationship Id="rId133" Type="http://schemas.openxmlformats.org/officeDocument/2006/relationships/hyperlink" Target="https://www.ontariocourts.ca/decisions/2021/2021ONCA0451.htm" TargetMode="External"/><Relationship Id="rId175" Type="http://schemas.openxmlformats.org/officeDocument/2006/relationships/hyperlink" Target="http://www.ontariocourts.ca/decisions/2018/2018ONCA0959.htm" TargetMode="External"/><Relationship Id="rId340" Type="http://schemas.openxmlformats.org/officeDocument/2006/relationships/hyperlink" Target="http://www.ontariocourts.ca/decisions/2018/2018ONCA0650.htm" TargetMode="External"/><Relationship Id="rId200" Type="http://schemas.openxmlformats.org/officeDocument/2006/relationships/hyperlink" Target="http://www.ontariocourts.ca/decisions/2016/2016ONCA0031.htm" TargetMode="External"/><Relationship Id="rId382" Type="http://schemas.openxmlformats.org/officeDocument/2006/relationships/hyperlink" Target="http://www.ontariocourts.ca/decisions/2018/2018ONCA0887.htm" TargetMode="External"/><Relationship Id="rId438" Type="http://schemas.openxmlformats.org/officeDocument/2006/relationships/hyperlink" Target="https://scc-csc.lexum.com/scc-csc/scc-csc/en/item/17801/index.do" TargetMode="External"/><Relationship Id="rId242" Type="http://schemas.openxmlformats.org/officeDocument/2006/relationships/hyperlink" Target="http://www.ontariocourts.ca/decisions/2016/2016ONCA0141.htm" TargetMode="External"/><Relationship Id="rId284" Type="http://schemas.openxmlformats.org/officeDocument/2006/relationships/hyperlink" Target="https://www.ontariocourts.ca/decisions/2021/2021ONCA0791.htm" TargetMode="External"/><Relationship Id="rId37" Type="http://schemas.openxmlformats.org/officeDocument/2006/relationships/hyperlink" Target="http://www.ontariocourts.ca/decisions/2018/2018ONCA0051.htm" TargetMode="External"/><Relationship Id="rId79" Type="http://schemas.openxmlformats.org/officeDocument/2006/relationships/hyperlink" Target="https://scc-csc.lexum.com/scc-csc/scc-csc/en/item/17405/index.do" TargetMode="External"/><Relationship Id="rId102" Type="http://schemas.openxmlformats.org/officeDocument/2006/relationships/hyperlink" Target="http://www.ontariocourts.ca/decisions/2019/2019ONCA0068.htm" TargetMode="External"/><Relationship Id="rId144" Type="http://schemas.openxmlformats.org/officeDocument/2006/relationships/hyperlink" Target="http://www.ontariocourts.ca/decisions/2018/2018ONCA0927.htm" TargetMode="External"/><Relationship Id="rId90" Type="http://schemas.openxmlformats.org/officeDocument/2006/relationships/hyperlink" Target="http://www.ontariocourts.ca/decisions/2017/2017ONCA0091.htm" TargetMode="External"/><Relationship Id="rId186" Type="http://schemas.openxmlformats.org/officeDocument/2006/relationships/hyperlink" Target="http://www.ontariocourts.ca/decisions/2016/2016ONCA0046.htm" TargetMode="External"/><Relationship Id="rId351" Type="http://schemas.openxmlformats.org/officeDocument/2006/relationships/hyperlink" Target="https://www.ontariocourts.ca/decisions/2020/2020ONCA0755.htm" TargetMode="External"/><Relationship Id="rId393" Type="http://schemas.openxmlformats.org/officeDocument/2006/relationships/hyperlink" Target="https://qweri.lexum.com/calegis/schedule-b-to-the-canada-act-1982-uk-1982-c-11-en" TargetMode="External"/><Relationship Id="rId407" Type="http://schemas.openxmlformats.org/officeDocument/2006/relationships/hyperlink" Target="https://www.ontariocourts.ca/decisions/2021/2021ONCA0758.htm" TargetMode="External"/><Relationship Id="rId449" Type="http://schemas.openxmlformats.org/officeDocument/2006/relationships/hyperlink" Target="https://www.ontariocourts.ca/decisions/2019/2019ONCA0860.htm" TargetMode="External"/><Relationship Id="rId211" Type="http://schemas.openxmlformats.org/officeDocument/2006/relationships/hyperlink" Target="http://laws-lois.justice.gc.ca/eng/acts/C-46/page-40.html" TargetMode="External"/><Relationship Id="rId253" Type="http://schemas.openxmlformats.org/officeDocument/2006/relationships/hyperlink" Target="https://scc-csc.lexum.com/scc-csc/scc-csc/en/item/17801/index.do" TargetMode="External"/><Relationship Id="rId295" Type="http://schemas.openxmlformats.org/officeDocument/2006/relationships/hyperlink" Target="http://www.ontariocourts.ca/decisions/2018/2018ONCA0665.htm" TargetMode="External"/><Relationship Id="rId309" Type="http://schemas.openxmlformats.org/officeDocument/2006/relationships/hyperlink" Target="https://www.ontariocourts.ca/decisions/2021/2021ONCA0758.htm" TargetMode="External"/><Relationship Id="rId460" Type="http://schemas.openxmlformats.org/officeDocument/2006/relationships/hyperlink" Target="http://www.ontariocourts.ca/decisions/2018/2018ONCA0745.htm" TargetMode="External"/><Relationship Id="rId48" Type="http://schemas.openxmlformats.org/officeDocument/2006/relationships/hyperlink" Target="http://www.ontariocourts.ca/decisions/2019/2019ONCA0094.htm" TargetMode="External"/><Relationship Id="rId113" Type="http://schemas.openxmlformats.org/officeDocument/2006/relationships/hyperlink" Target="http://www.ontariocourts.ca/decisions/2018/2018ONCA0927.htm" TargetMode="External"/><Relationship Id="rId320" Type="http://schemas.openxmlformats.org/officeDocument/2006/relationships/hyperlink" Target="http://www.ontariocourts.ca/search-canlii/scj/scj-en.htm" TargetMode="External"/><Relationship Id="rId155" Type="http://schemas.openxmlformats.org/officeDocument/2006/relationships/hyperlink" Target="http://www.ontariocourts.ca/decisions/2016/2016ONCA0379.htm" TargetMode="External"/><Relationship Id="rId197" Type="http://schemas.openxmlformats.org/officeDocument/2006/relationships/hyperlink" Target="http://www.ontariocourts.ca/decisions/2016/2016ONCA0248.htm" TargetMode="External"/><Relationship Id="rId362" Type="http://schemas.openxmlformats.org/officeDocument/2006/relationships/hyperlink" Target="http://www.ontariocourts.ca/decisions/2019/2019ONCA0726.htm" TargetMode="External"/><Relationship Id="rId418" Type="http://schemas.openxmlformats.org/officeDocument/2006/relationships/hyperlink" Target="https://www.canlii.org/en/on/onca/doc/2016/2016onca989/2016onca989.html" TargetMode="External"/><Relationship Id="rId222" Type="http://schemas.openxmlformats.org/officeDocument/2006/relationships/hyperlink" Target="http://www.ontariocourts.ca/decisions/2017/2017ONCA0543.htm" TargetMode="External"/><Relationship Id="rId264" Type="http://schemas.openxmlformats.org/officeDocument/2006/relationships/hyperlink" Target="https://www.ontariocourts.ca/decisions/2019/2019ONCA0665.htm" TargetMode="External"/><Relationship Id="rId471" Type="http://schemas.openxmlformats.org/officeDocument/2006/relationships/hyperlink" Target="https://www.canlii.org/en/on/onsc/doc/2017/2017onsc1869/2017onsc1869.html" TargetMode="External"/><Relationship Id="rId17" Type="http://schemas.openxmlformats.org/officeDocument/2006/relationships/hyperlink" Target="http://www.ontariocourts.ca/decisions/2016/2016ONCA0316.htm" TargetMode="External"/><Relationship Id="rId59" Type="http://schemas.openxmlformats.org/officeDocument/2006/relationships/hyperlink" Target="https://www.ontariocourts.ca/decisions/2020/2020ONCA0290.htm" TargetMode="External"/><Relationship Id="rId124" Type="http://schemas.openxmlformats.org/officeDocument/2006/relationships/hyperlink" Target="http://www.ontariocourts.ca/decisions/2017/2017ONCA0491.htm" TargetMode="External"/><Relationship Id="rId70" Type="http://schemas.openxmlformats.org/officeDocument/2006/relationships/hyperlink" Target="http://www.ontariocourts.ca/decisions/2019/2019ONCA0405.htm" TargetMode="External"/><Relationship Id="rId166" Type="http://schemas.openxmlformats.org/officeDocument/2006/relationships/hyperlink" Target="https://scc-csc.lexum.com/scc-csc/scc-csc/en/item/14502/index.do" TargetMode="External"/><Relationship Id="rId331" Type="http://schemas.openxmlformats.org/officeDocument/2006/relationships/hyperlink" Target="https://scc-csc.lexum.com/scc-csc/scc-csc/en/item/18421/index.do" TargetMode="External"/><Relationship Id="rId373" Type="http://schemas.openxmlformats.org/officeDocument/2006/relationships/hyperlink" Target="https://www.ontariocourts.ca/decisions/2020/2020ONCA0220.htm" TargetMode="External"/><Relationship Id="rId429" Type="http://schemas.openxmlformats.org/officeDocument/2006/relationships/hyperlink" Target="https://www.ontariocourts.ca/decisions/2020/2020ONCA0246.htm" TargetMode="External"/><Relationship Id="rId1" Type="http://schemas.openxmlformats.org/officeDocument/2006/relationships/customXml" Target="../customXml/item1.xml"/><Relationship Id="rId233" Type="http://schemas.openxmlformats.org/officeDocument/2006/relationships/hyperlink" Target="http://www.ontariocourts.ca/decisions/2019/2019ONCA0405.htm" TargetMode="External"/><Relationship Id="rId440" Type="http://schemas.openxmlformats.org/officeDocument/2006/relationships/hyperlink" Target="https://www.ontariocourts.ca/decisions/2021/2021ONCA0758.htm" TargetMode="External"/><Relationship Id="rId28" Type="http://schemas.openxmlformats.org/officeDocument/2006/relationships/hyperlink" Target="http://www.ontariocourts.ca/decisions/2018/2018ONCA0184.htm" TargetMode="External"/><Relationship Id="rId275" Type="http://schemas.openxmlformats.org/officeDocument/2006/relationships/hyperlink" Target="http://www.ontariocourts.ca/decisions/2019/2019ONCA0578.htm" TargetMode="External"/><Relationship Id="rId300" Type="http://schemas.openxmlformats.org/officeDocument/2006/relationships/hyperlink" Target="https://www.ontariocourts.ca/decisions/2020/2020ONCA0750.htm" TargetMode="External"/><Relationship Id="rId482" Type="http://schemas.openxmlformats.org/officeDocument/2006/relationships/theme" Target="theme/theme1.xml"/><Relationship Id="rId81" Type="http://schemas.openxmlformats.org/officeDocument/2006/relationships/hyperlink" Target="http://www.ontariocourts.ca/decisions/2018/2018ONCA0056.htm" TargetMode="External"/><Relationship Id="rId135" Type="http://schemas.openxmlformats.org/officeDocument/2006/relationships/hyperlink" Target="http://canlii.ca/t/j34z2" TargetMode="External"/><Relationship Id="rId177" Type="http://schemas.openxmlformats.org/officeDocument/2006/relationships/hyperlink" Target="http://www.ontariocourts.ca/decisions/2019/2019ONCA0405.htm" TargetMode="External"/><Relationship Id="rId342" Type="http://schemas.openxmlformats.org/officeDocument/2006/relationships/hyperlink" Target="https://www.ontariocourts.ca/decisions/2020/2020ONCA0743.htm" TargetMode="External"/><Relationship Id="rId384" Type="http://schemas.openxmlformats.org/officeDocument/2006/relationships/hyperlink" Target="http://www.ontariocourts.ca/decisions/2019/2019ONCA0600.htm" TargetMode="External"/><Relationship Id="rId202" Type="http://schemas.openxmlformats.org/officeDocument/2006/relationships/hyperlink" Target="R%20v%20Culotta,%202018%20ONCA%20665%20at%20para" TargetMode="External"/><Relationship Id="rId244" Type="http://schemas.openxmlformats.org/officeDocument/2006/relationships/hyperlink" Target="https://www.ontariocourts.ca/decisions/2020/2020ONCA0245.htm" TargetMode="External"/><Relationship Id="rId39" Type="http://schemas.openxmlformats.org/officeDocument/2006/relationships/hyperlink" Target="http://www.ontariocourts.ca/decisions/2017/2017ONCA0618.htm" TargetMode="External"/><Relationship Id="rId286" Type="http://schemas.openxmlformats.org/officeDocument/2006/relationships/hyperlink" Target="http://www.ontariocourts.ca/decisions/2016/2016ONCA0308.htm" TargetMode="External"/><Relationship Id="rId451" Type="http://schemas.openxmlformats.org/officeDocument/2006/relationships/hyperlink" Target="http://www.ontariocourts.ca/decisions/2019/2019ONCA0420.htm" TargetMode="External"/><Relationship Id="rId50" Type="http://schemas.openxmlformats.org/officeDocument/2006/relationships/hyperlink" Target="http://www.ontariocourts.ca/decisions/2019/2019ONCA0392.htm" TargetMode="External"/><Relationship Id="rId104" Type="http://schemas.openxmlformats.org/officeDocument/2006/relationships/hyperlink" Target="https://www.ontariocourts.ca/decisions/2020/2020ONCA0269.htm" TargetMode="External"/><Relationship Id="rId146" Type="http://schemas.openxmlformats.org/officeDocument/2006/relationships/hyperlink" Target="http://www.ontariocourts.ca/decisions/2018/2018ONCA0927.htm" TargetMode="External"/><Relationship Id="rId188" Type="http://schemas.openxmlformats.org/officeDocument/2006/relationships/hyperlink" Target="https://www.ontario.ca/laws/statute/90c11" TargetMode="External"/><Relationship Id="rId311" Type="http://schemas.openxmlformats.org/officeDocument/2006/relationships/hyperlink" Target="http://www.ontariocourts.ca/decisions/2018/2018ONCA0411.htm" TargetMode="External"/><Relationship Id="rId353" Type="http://schemas.openxmlformats.org/officeDocument/2006/relationships/hyperlink" Target="https://qweri.lexum.com/calegis/schedule-b-to-the-canada-act-1982-uk-1982-c-11-en" TargetMode="External"/><Relationship Id="rId395" Type="http://schemas.openxmlformats.org/officeDocument/2006/relationships/hyperlink" Target="https://scc-csc.lexum.com/scc-csc/scc-csc/en/item/18932/index.do" TargetMode="External"/><Relationship Id="rId409" Type="http://schemas.openxmlformats.org/officeDocument/2006/relationships/hyperlink" Target="http://www.ontariocourts.ca/decisions/2018/2018ONCA0411.htm" TargetMode="External"/><Relationship Id="rId92" Type="http://schemas.openxmlformats.org/officeDocument/2006/relationships/hyperlink" Target="http://www.ontariocourts.ca/decisions/2018/2018ONCA0918.htm" TargetMode="External"/><Relationship Id="rId213" Type="http://schemas.openxmlformats.org/officeDocument/2006/relationships/hyperlink" Target="http://www.ontariocourts.ca/decisions/2016/2016ONCA0379.htm" TargetMode="External"/><Relationship Id="rId420" Type="http://schemas.openxmlformats.org/officeDocument/2006/relationships/hyperlink" Target="https://www.canlii.org/en/on/onca/doc/2016/2016onca988/2016onca988.html" TargetMode="External"/><Relationship Id="rId255" Type="http://schemas.openxmlformats.org/officeDocument/2006/relationships/hyperlink" Target="https://scc-csc.lexum.com/scc-csc/scc-csc/en/item/17804/index.do" TargetMode="External"/><Relationship Id="rId297" Type="http://schemas.openxmlformats.org/officeDocument/2006/relationships/hyperlink" Target="http://www.ontariocourts.ca/decisions/2016/2016ONCA0211.htm" TargetMode="External"/><Relationship Id="rId462" Type="http://schemas.openxmlformats.org/officeDocument/2006/relationships/hyperlink" Target="http://www.ontariocourts.ca/decisions/2017/2017ONCA0543.htm" TargetMode="External"/><Relationship Id="rId115" Type="http://schemas.openxmlformats.org/officeDocument/2006/relationships/hyperlink" Target="http://www.ontariocourts.ca/decisions/2018/2018ONCA0695.htm" TargetMode="External"/><Relationship Id="rId157" Type="http://schemas.openxmlformats.org/officeDocument/2006/relationships/hyperlink" Target="http://www.ontariocourts.ca/decisions/2018/2018ONCA0702.htm" TargetMode="External"/><Relationship Id="rId322" Type="http://schemas.openxmlformats.org/officeDocument/2006/relationships/hyperlink" Target="http://www.ontariocourts.ca/decisions/2018/2018ONCA0830.htm" TargetMode="External"/><Relationship Id="rId364" Type="http://schemas.openxmlformats.org/officeDocument/2006/relationships/hyperlink" Target="https://www.ontariocourts.ca/decisions/2019/2019ONCA0895.htm" TargetMode="External"/><Relationship Id="rId61" Type="http://schemas.openxmlformats.org/officeDocument/2006/relationships/hyperlink" Target="https://www.ontariocourts.ca/decisions/2019/2019ONCA0906.htm" TargetMode="External"/><Relationship Id="rId199" Type="http://schemas.openxmlformats.org/officeDocument/2006/relationships/hyperlink" Target="http://www.ontariocourts.ca/decisions/2016/2016ONCA0031.htm" TargetMode="External"/><Relationship Id="rId19" Type="http://schemas.openxmlformats.org/officeDocument/2006/relationships/hyperlink" Target="http://www.ontariocourts.ca/decisions/2018/2018ONCA0183.htm" TargetMode="External"/><Relationship Id="rId224" Type="http://schemas.openxmlformats.org/officeDocument/2006/relationships/hyperlink" Target="https://www.ontariocourts.ca/decisions/2017/2017ONCA0543.htm" TargetMode="External"/><Relationship Id="rId266" Type="http://schemas.openxmlformats.org/officeDocument/2006/relationships/hyperlink" Target="https://www.ontariocourts.ca/decisions/2021/2021ONCA0382.htm" TargetMode="External"/><Relationship Id="rId431" Type="http://schemas.openxmlformats.org/officeDocument/2006/relationships/hyperlink" Target="http://www.ontariocourts.ca/decisions/2018/2018ONCA0375.htm" TargetMode="External"/><Relationship Id="rId473" Type="http://schemas.openxmlformats.org/officeDocument/2006/relationships/hyperlink" Target="http://www.ontariocourts.ca/decisions/2018/2018ONCA0436.htm" TargetMode="External"/><Relationship Id="rId30" Type="http://schemas.openxmlformats.org/officeDocument/2006/relationships/hyperlink" Target="http://www.ontariocourts.ca/decisions/2018/2018ONCA0184.htm" TargetMode="External"/><Relationship Id="rId126" Type="http://schemas.openxmlformats.org/officeDocument/2006/relationships/hyperlink" Target="https://www.ontariocourts.ca/decisions/2020/2020ONCA0313.htm" TargetMode="External"/><Relationship Id="rId168" Type="http://schemas.openxmlformats.org/officeDocument/2006/relationships/hyperlink" Target="https://www.ontariocourts.ca/decisions/2020/2020ONCA0678.htm" TargetMode="External"/><Relationship Id="rId333" Type="http://schemas.openxmlformats.org/officeDocument/2006/relationships/hyperlink" Target="http://www.ontariocourts.ca/decisions/2017/2017ONCA0644.htm" TargetMode="External"/><Relationship Id="rId72" Type="http://schemas.openxmlformats.org/officeDocument/2006/relationships/hyperlink" Target="https://www.canlii.org/en/ca/laws/stat/schedule-b-to-the-canada-act-1982-uk-1982-c-11/latest/schedule-b-to-the-canada-act-1982-uk-1982-c-11.html" TargetMode="External"/><Relationship Id="rId375" Type="http://schemas.openxmlformats.org/officeDocument/2006/relationships/hyperlink" Target="http://www.ontariocourts.ca/decisions/2018/2018ONCA08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247D-2D11-D944-8583-B3F9F017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132</Pages>
  <Words>44539</Words>
  <Characters>253876</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52</cp:revision>
  <cp:lastPrinted>2020-10-18T14:48:00Z</cp:lastPrinted>
  <dcterms:created xsi:type="dcterms:W3CDTF">2020-10-18T14:48:00Z</dcterms:created>
  <dcterms:modified xsi:type="dcterms:W3CDTF">2022-01-29T20:01:00Z</dcterms:modified>
</cp:coreProperties>
</file>